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D8F0" w14:textId="0515C493" w:rsidR="004C43CB" w:rsidRDefault="004C43CB" w:rsidP="004C43CB">
      <w:pPr>
        <w:spacing w:after="0" w:line="240" w:lineRule="auto"/>
        <w:rPr>
          <w:rFonts w:ascii="Helvetica" w:eastAsia="Times New Roman" w:hAnsi="Helvetica" w:cs="Helvetica"/>
          <w:b/>
          <w:color w:val="26BCD7"/>
          <w:kern w:val="0"/>
          <w:sz w:val="32"/>
          <w:szCs w:val="32"/>
          <w14:ligatures w14:val="none"/>
        </w:rPr>
      </w:pPr>
      <w:r w:rsidRPr="00D96EB8">
        <w:rPr>
          <w:rFonts w:ascii="Helvetica" w:eastAsia="Times New Roman" w:hAnsi="Helvetica" w:cs="Helvetica"/>
          <w:b/>
          <w:color w:val="26BCD7"/>
          <w:kern w:val="0"/>
          <w:sz w:val="32"/>
          <w:szCs w:val="32"/>
          <w14:ligatures w14:val="none"/>
        </w:rPr>
        <w:t>A</w:t>
      </w:r>
      <w:r>
        <w:rPr>
          <w:rFonts w:ascii="Helvetica" w:eastAsia="Times New Roman" w:hAnsi="Helvetica" w:cs="Helvetica"/>
          <w:b/>
          <w:color w:val="26BCD7"/>
          <w:kern w:val="0"/>
          <w:sz w:val="32"/>
          <w:szCs w:val="32"/>
          <w14:ligatures w14:val="none"/>
        </w:rPr>
        <w:t>ldersgate Group</w:t>
      </w:r>
      <w:r w:rsidRPr="00D96EB8">
        <w:rPr>
          <w:rFonts w:ascii="Helvetica" w:eastAsia="Times New Roman" w:hAnsi="Helvetica" w:cs="Helvetica"/>
          <w:b/>
          <w:color w:val="26BCD7"/>
          <w:kern w:val="0"/>
          <w:sz w:val="32"/>
          <w:szCs w:val="32"/>
          <w14:ligatures w14:val="none"/>
        </w:rPr>
        <w:t xml:space="preserve"> </w:t>
      </w:r>
      <w:r w:rsidR="003F091F">
        <w:rPr>
          <w:rFonts w:ascii="Helvetica" w:eastAsia="Times New Roman" w:hAnsi="Helvetica" w:cs="Helvetica"/>
          <w:b/>
          <w:color w:val="26BCD7"/>
          <w:kern w:val="0"/>
          <w:sz w:val="32"/>
          <w:szCs w:val="32"/>
          <w14:ligatures w14:val="none"/>
        </w:rPr>
        <w:t xml:space="preserve">draft </w:t>
      </w:r>
      <w:r w:rsidRPr="00D96EB8">
        <w:rPr>
          <w:rFonts w:ascii="Helvetica" w:eastAsia="Times New Roman" w:hAnsi="Helvetica" w:cs="Helvetica"/>
          <w:b/>
          <w:color w:val="26BCD7"/>
          <w:kern w:val="0"/>
          <w:sz w:val="32"/>
          <w:szCs w:val="32"/>
          <w14:ligatures w14:val="none"/>
        </w:rPr>
        <w:t xml:space="preserve">response: </w:t>
      </w:r>
      <w:r w:rsidR="00261D12">
        <w:rPr>
          <w:rFonts w:ascii="Helvetica" w:eastAsia="Times New Roman" w:hAnsi="Helvetica" w:cs="Helvetica"/>
          <w:b/>
          <w:color w:val="26BCD7"/>
          <w:kern w:val="0"/>
          <w:sz w:val="32"/>
          <w:szCs w:val="32"/>
          <w14:ligatures w14:val="none"/>
        </w:rPr>
        <w:t>UK Green Taxonomy consultation</w:t>
      </w:r>
    </w:p>
    <w:p w14:paraId="15947457" w14:textId="77777777" w:rsidR="004C43CB" w:rsidRPr="00D96EB8" w:rsidRDefault="004C43CB" w:rsidP="004C43CB">
      <w:pPr>
        <w:spacing w:after="0" w:line="240" w:lineRule="auto"/>
        <w:rPr>
          <w:rFonts w:ascii="Helvetica" w:eastAsia="Times New Roman" w:hAnsi="Helvetica" w:cs="Helvetica"/>
          <w:b/>
          <w:color w:val="26BCD7"/>
          <w:kern w:val="0"/>
          <w:sz w:val="32"/>
          <w:szCs w:val="32"/>
          <w14:ligatures w14:val="none"/>
        </w:rPr>
      </w:pPr>
    </w:p>
    <w:p w14:paraId="7B3FD889" w14:textId="2068046C" w:rsidR="004C43CB" w:rsidRPr="003360BC" w:rsidRDefault="0017552D" w:rsidP="004C43CB">
      <w:pPr>
        <w:rPr>
          <w:rFonts w:ascii="Helvetica" w:hAnsi="Helvetica" w:cs="Helvetica"/>
          <w:b/>
          <w:sz w:val="22"/>
          <w:szCs w:val="22"/>
        </w:rPr>
      </w:pPr>
      <w:r>
        <w:rPr>
          <w:rFonts w:ascii="Helvetica" w:hAnsi="Helvetica" w:cs="Helvetica"/>
          <w:b/>
          <w:sz w:val="22"/>
          <w:szCs w:val="22"/>
        </w:rPr>
        <w:t>February</w:t>
      </w:r>
      <w:r w:rsidR="004C43CB" w:rsidRPr="00D96EB8">
        <w:rPr>
          <w:rFonts w:ascii="Helvetica" w:hAnsi="Helvetica" w:cs="Helvetica"/>
          <w:b/>
          <w:sz w:val="22"/>
          <w:szCs w:val="22"/>
        </w:rPr>
        <w:t xml:space="preserve"> 202</w:t>
      </w:r>
      <w:r>
        <w:rPr>
          <w:rFonts w:ascii="Helvetica" w:hAnsi="Helvetica" w:cs="Helvetica"/>
          <w:b/>
          <w:sz w:val="22"/>
          <w:szCs w:val="22"/>
        </w:rPr>
        <w:t>5</w:t>
      </w:r>
    </w:p>
    <w:p w14:paraId="5B63030B" w14:textId="77777777" w:rsidR="004C43CB" w:rsidRDefault="004C43CB" w:rsidP="004C43CB">
      <w:pPr>
        <w:spacing w:after="0" w:line="240" w:lineRule="auto"/>
        <w:rPr>
          <w:rFonts w:eastAsia="Times New Roman" w:cs="Helvetica"/>
          <w:b/>
          <w:color w:val="26BCD7"/>
          <w:kern w:val="0"/>
          <w:sz w:val="22"/>
          <w:szCs w:val="22"/>
          <w14:ligatures w14:val="none"/>
        </w:rPr>
      </w:pPr>
      <w:r w:rsidRPr="00DA49AB">
        <w:rPr>
          <w:rFonts w:eastAsia="Times New Roman" w:cs="Helvetica"/>
          <w:b/>
          <w:color w:val="26BCD7"/>
          <w:kern w:val="0"/>
          <w:sz w:val="22"/>
          <w:szCs w:val="22"/>
          <w14:ligatures w14:val="none"/>
        </w:rPr>
        <w:t>Background</w:t>
      </w:r>
    </w:p>
    <w:p w14:paraId="00789FD5" w14:textId="77777777" w:rsidR="004C43CB" w:rsidRPr="00DA49AB" w:rsidRDefault="004C43CB" w:rsidP="004C43CB">
      <w:pPr>
        <w:spacing w:after="0" w:line="240" w:lineRule="auto"/>
        <w:rPr>
          <w:rFonts w:eastAsia="Times New Roman" w:cs="Helvetica"/>
          <w:b/>
          <w:color w:val="26BCD7"/>
          <w:kern w:val="0"/>
          <w:sz w:val="22"/>
          <w:szCs w:val="22"/>
          <w14:ligatures w14:val="none"/>
        </w:rPr>
      </w:pPr>
    </w:p>
    <w:p w14:paraId="2E9851E5" w14:textId="41329D7A" w:rsidR="004C43CB" w:rsidRDefault="004C43CB" w:rsidP="004C43CB">
      <w:pPr>
        <w:rPr>
          <w:sz w:val="22"/>
          <w:szCs w:val="22"/>
        </w:rPr>
      </w:pPr>
      <w:r w:rsidRPr="00DA49AB">
        <w:rPr>
          <w:sz w:val="22"/>
          <w:szCs w:val="22"/>
        </w:rPr>
        <w:t>The Aldersgate Group represents an alliance of major businesses, academic institutions and civil society organisations which drives action for a competitive and environmentally sustainable UK economy.</w:t>
      </w:r>
      <w:r w:rsidRPr="00DA49AB">
        <w:rPr>
          <w:sz w:val="22"/>
          <w:szCs w:val="22"/>
          <w:vertAlign w:val="superscript"/>
        </w:rPr>
        <w:footnoteReference w:id="2"/>
      </w:r>
      <w:r w:rsidRPr="00DA49AB">
        <w:rPr>
          <w:sz w:val="22"/>
          <w:szCs w:val="22"/>
        </w:rPr>
        <w:t xml:space="preserve"> Our corporate members represent all major sectors of the economy, and include Associated British Ports, Aviva Investors, BT, CEMEX, the John Lewis Partnership, Michelin, Nestlé, Siemens, SUEZ, Tesco, and Willmott Dixon. Aldersgate Group members believe that ambitious environmental policies make clear economic sense for the UK, and we work closely with members when developing our independent policy positions.</w:t>
      </w:r>
    </w:p>
    <w:p w14:paraId="55E13938" w14:textId="7EC8F266" w:rsidR="00111D5C" w:rsidRPr="00DA49AB" w:rsidRDefault="00111D5C" w:rsidP="004C43CB">
      <w:pPr>
        <w:rPr>
          <w:sz w:val="22"/>
          <w:szCs w:val="22"/>
        </w:rPr>
      </w:pPr>
      <w:r>
        <w:rPr>
          <w:sz w:val="22"/>
          <w:szCs w:val="22"/>
        </w:rPr>
        <w:t xml:space="preserve">You can find the consultation, including the full list of questions, here: </w:t>
      </w:r>
      <w:hyperlink r:id="rId11" w:history="1">
        <w:r w:rsidR="000A0221" w:rsidRPr="00F456CA">
          <w:rPr>
            <w:rStyle w:val="Hyperlink"/>
            <w:sz w:val="22"/>
            <w:szCs w:val="22"/>
          </w:rPr>
          <w:t>https://assets.publishing.service.gov.uk/media/6734cf6a54652d03d51610c5/UK_Green_Taxonomy_Consultation.pdf</w:t>
        </w:r>
      </w:hyperlink>
      <w:r w:rsidR="000A0221">
        <w:rPr>
          <w:sz w:val="22"/>
          <w:szCs w:val="22"/>
        </w:rPr>
        <w:t xml:space="preserve"> </w:t>
      </w:r>
    </w:p>
    <w:p w14:paraId="70882481" w14:textId="5E40BC1C" w:rsidR="00972784" w:rsidRPr="000A0221" w:rsidRDefault="004C43CB" w:rsidP="000A0221">
      <w:pPr>
        <w:spacing w:after="0" w:line="240" w:lineRule="auto"/>
        <w:rPr>
          <w:rFonts w:eastAsia="Times New Roman" w:cs="Helvetica"/>
          <w:b/>
          <w:color w:val="26BCD7"/>
          <w:kern w:val="0"/>
          <w:sz w:val="22"/>
          <w:szCs w:val="22"/>
          <w14:ligatures w14:val="none"/>
        </w:rPr>
      </w:pPr>
      <w:r w:rsidRPr="00DA49AB">
        <w:rPr>
          <w:rFonts w:eastAsia="Times New Roman" w:cs="Helvetica"/>
          <w:b/>
          <w:color w:val="26BCD7"/>
          <w:kern w:val="0"/>
          <w:sz w:val="22"/>
          <w:szCs w:val="22"/>
          <w14:ligatures w14:val="none"/>
        </w:rPr>
        <w:t>Questions</w:t>
      </w:r>
    </w:p>
    <w:p w14:paraId="22670DA2" w14:textId="77777777" w:rsidR="000125AA" w:rsidRPr="0084139C" w:rsidRDefault="000125AA" w:rsidP="000125AA">
      <w:pPr>
        <w:spacing w:after="0" w:line="240" w:lineRule="auto"/>
        <w:rPr>
          <w:rFonts w:eastAsia="Times New Roman" w:cs="Helvetica"/>
          <w:b/>
          <w:color w:val="26BCD7"/>
          <w:kern w:val="0"/>
          <w:sz w:val="20"/>
          <w:szCs w:val="20"/>
          <w14:ligatures w14:val="none"/>
        </w:rPr>
      </w:pPr>
    </w:p>
    <w:p w14:paraId="7156006C" w14:textId="25D60602" w:rsidR="005538A4" w:rsidRPr="00AF51E5" w:rsidRDefault="00802C81" w:rsidP="00AF51E5">
      <w:pPr>
        <w:pStyle w:val="ListParagraph"/>
        <w:numPr>
          <w:ilvl w:val="0"/>
          <w:numId w:val="13"/>
        </w:numPr>
        <w:rPr>
          <w:b/>
          <w:bCs/>
          <w:sz w:val="22"/>
          <w:szCs w:val="22"/>
        </w:rPr>
      </w:pPr>
      <w:r w:rsidRPr="00C0546B">
        <w:rPr>
          <w:b/>
          <w:bCs/>
          <w:sz w:val="22"/>
          <w:szCs w:val="22"/>
        </w:rPr>
        <w:t>To what extent, within the wider context of government policy, including sustainability disclosures, transition planning, transition finance and market practices, is a UK Taxonomy distinctly valuable in supporting the goals of channelling capital and preventing greenwashing?</w:t>
      </w:r>
    </w:p>
    <w:p w14:paraId="74CFE9F7" w14:textId="60792D3A" w:rsidR="0001632C" w:rsidRDefault="00CB4CE4" w:rsidP="00CB4CE4">
      <w:pPr>
        <w:rPr>
          <w:sz w:val="22"/>
          <w:szCs w:val="22"/>
        </w:rPr>
      </w:pPr>
      <w:r>
        <w:rPr>
          <w:sz w:val="22"/>
          <w:szCs w:val="22"/>
        </w:rPr>
        <w:t>A</w:t>
      </w:r>
      <w:r w:rsidR="0092580E">
        <w:rPr>
          <w:sz w:val="22"/>
          <w:szCs w:val="22"/>
        </w:rPr>
        <w:t xml:space="preserve"> UK green taxonomy </w:t>
      </w:r>
      <w:r w:rsidR="0030718D">
        <w:rPr>
          <w:sz w:val="22"/>
          <w:szCs w:val="22"/>
        </w:rPr>
        <w:t>is distinctly valuable</w:t>
      </w:r>
      <w:r w:rsidR="0001632C">
        <w:rPr>
          <w:sz w:val="22"/>
          <w:szCs w:val="22"/>
        </w:rPr>
        <w:t xml:space="preserve"> because it is applied at an economic activity level</w:t>
      </w:r>
      <w:r w:rsidR="00573AD7">
        <w:rPr>
          <w:sz w:val="22"/>
          <w:szCs w:val="22"/>
        </w:rPr>
        <w:t>,</w:t>
      </w:r>
      <w:r w:rsidR="0001632C">
        <w:rPr>
          <w:sz w:val="22"/>
          <w:szCs w:val="22"/>
        </w:rPr>
        <w:t xml:space="preserve"> </w:t>
      </w:r>
      <w:r w:rsidR="00D03043">
        <w:rPr>
          <w:sz w:val="22"/>
          <w:szCs w:val="22"/>
        </w:rPr>
        <w:t xml:space="preserve">not at </w:t>
      </w:r>
      <w:r w:rsidR="0001632C">
        <w:rPr>
          <w:sz w:val="22"/>
          <w:szCs w:val="22"/>
        </w:rPr>
        <w:t>an entity level</w:t>
      </w:r>
      <w:r w:rsidR="00D03043">
        <w:rPr>
          <w:sz w:val="22"/>
          <w:szCs w:val="22"/>
        </w:rPr>
        <w:t>, as for</w:t>
      </w:r>
      <w:r w:rsidR="00573AD7">
        <w:rPr>
          <w:sz w:val="22"/>
          <w:szCs w:val="22"/>
        </w:rPr>
        <w:t xml:space="preserve"> </w:t>
      </w:r>
      <w:r w:rsidR="00BD3B38">
        <w:rPr>
          <w:sz w:val="22"/>
          <w:szCs w:val="22"/>
        </w:rPr>
        <w:t>other government sustainable finance policies</w:t>
      </w:r>
      <w:r w:rsidR="0001632C">
        <w:rPr>
          <w:sz w:val="22"/>
          <w:szCs w:val="22"/>
        </w:rPr>
        <w:t xml:space="preserve">. </w:t>
      </w:r>
      <w:r w:rsidR="008B59E4">
        <w:rPr>
          <w:sz w:val="22"/>
          <w:szCs w:val="22"/>
        </w:rPr>
        <w:t>It</w:t>
      </w:r>
      <w:r w:rsidR="00D85761">
        <w:rPr>
          <w:sz w:val="22"/>
          <w:szCs w:val="22"/>
        </w:rPr>
        <w:t xml:space="preserve"> provides</w:t>
      </w:r>
      <w:r w:rsidR="00F16C4C">
        <w:rPr>
          <w:sz w:val="22"/>
          <w:szCs w:val="22"/>
        </w:rPr>
        <w:t xml:space="preserve"> </w:t>
      </w:r>
      <w:r w:rsidR="002B497A">
        <w:rPr>
          <w:sz w:val="22"/>
          <w:szCs w:val="22"/>
        </w:rPr>
        <w:t>a</w:t>
      </w:r>
      <w:r w:rsidR="00D85761">
        <w:rPr>
          <w:sz w:val="22"/>
          <w:szCs w:val="22"/>
        </w:rPr>
        <w:t xml:space="preserve"> commonly agreed definition of which economic </w:t>
      </w:r>
      <w:r w:rsidR="00002163">
        <w:rPr>
          <w:sz w:val="22"/>
          <w:szCs w:val="22"/>
        </w:rPr>
        <w:t xml:space="preserve">activities are environmentally sustainable, helping to facilitate the flow </w:t>
      </w:r>
      <w:r w:rsidR="00977976">
        <w:rPr>
          <w:sz w:val="22"/>
          <w:szCs w:val="22"/>
        </w:rPr>
        <w:t>o</w:t>
      </w:r>
      <w:r w:rsidR="00002163">
        <w:rPr>
          <w:sz w:val="22"/>
          <w:szCs w:val="22"/>
        </w:rPr>
        <w:t xml:space="preserve">f finance and mitigate greenwashing risk for whichever subset of investments </w:t>
      </w:r>
      <w:r w:rsidR="008B59E4">
        <w:rPr>
          <w:sz w:val="22"/>
          <w:szCs w:val="22"/>
        </w:rPr>
        <w:t>is</w:t>
      </w:r>
      <w:r w:rsidR="00002163">
        <w:rPr>
          <w:sz w:val="22"/>
          <w:szCs w:val="22"/>
        </w:rPr>
        <w:t xml:space="preserve"> in scope</w:t>
      </w:r>
      <w:r w:rsidR="00876375">
        <w:rPr>
          <w:sz w:val="22"/>
          <w:szCs w:val="22"/>
        </w:rPr>
        <w:t xml:space="preserve">. Corporates, for example, can use taxonomies to </w:t>
      </w:r>
      <w:r w:rsidR="00FE5A02">
        <w:rPr>
          <w:sz w:val="22"/>
          <w:szCs w:val="22"/>
        </w:rPr>
        <w:t>underpin</w:t>
      </w:r>
      <w:r w:rsidR="00876375">
        <w:rPr>
          <w:sz w:val="22"/>
          <w:szCs w:val="22"/>
        </w:rPr>
        <w:t xml:space="preserve"> their green finance frameworks for the issuance of financial product</w:t>
      </w:r>
      <w:r w:rsidR="00977976">
        <w:rPr>
          <w:sz w:val="22"/>
          <w:szCs w:val="22"/>
        </w:rPr>
        <w:t>s (</w:t>
      </w:r>
      <w:r w:rsidR="00876375">
        <w:rPr>
          <w:sz w:val="22"/>
          <w:szCs w:val="22"/>
        </w:rPr>
        <w:t>like green bonds</w:t>
      </w:r>
      <w:r w:rsidR="00977976">
        <w:rPr>
          <w:sz w:val="22"/>
          <w:szCs w:val="22"/>
        </w:rPr>
        <w:t>),</w:t>
      </w:r>
      <w:r w:rsidR="00171418">
        <w:rPr>
          <w:sz w:val="22"/>
          <w:szCs w:val="22"/>
        </w:rPr>
        <w:t xml:space="preserve"> </w:t>
      </w:r>
      <w:r w:rsidR="00B00873">
        <w:rPr>
          <w:sz w:val="22"/>
          <w:szCs w:val="22"/>
        </w:rPr>
        <w:t>support</w:t>
      </w:r>
      <w:r w:rsidR="00171418">
        <w:rPr>
          <w:sz w:val="22"/>
          <w:szCs w:val="22"/>
        </w:rPr>
        <w:t xml:space="preserve"> claims of sustainability performance and improving comparability. </w:t>
      </w:r>
      <w:r w:rsidR="00F16C4C">
        <w:rPr>
          <w:sz w:val="22"/>
          <w:szCs w:val="22"/>
        </w:rPr>
        <w:t xml:space="preserve"> </w:t>
      </w:r>
    </w:p>
    <w:p w14:paraId="5D3B6B07" w14:textId="7B552737" w:rsidR="005C3027" w:rsidRDefault="00B54CEA" w:rsidP="00B16C66">
      <w:pPr>
        <w:rPr>
          <w:sz w:val="22"/>
          <w:szCs w:val="22"/>
        </w:rPr>
      </w:pPr>
      <w:r>
        <w:rPr>
          <w:sz w:val="22"/>
          <w:szCs w:val="22"/>
        </w:rPr>
        <w:t xml:space="preserve">A UK green taxonomy would also support the government’s wider sustainable finance regulatory framework. </w:t>
      </w:r>
      <w:r w:rsidR="00242EA8" w:rsidRPr="0092580E">
        <w:rPr>
          <w:sz w:val="22"/>
          <w:szCs w:val="22"/>
        </w:rPr>
        <w:t xml:space="preserve">For </w:t>
      </w:r>
      <w:r>
        <w:rPr>
          <w:sz w:val="22"/>
          <w:szCs w:val="22"/>
        </w:rPr>
        <w:t>instance</w:t>
      </w:r>
      <w:r w:rsidR="00242EA8" w:rsidRPr="0092580E">
        <w:rPr>
          <w:sz w:val="22"/>
          <w:szCs w:val="22"/>
        </w:rPr>
        <w:t xml:space="preserve">, disclosing </w:t>
      </w:r>
      <w:r w:rsidR="00F1658A" w:rsidRPr="0092580E">
        <w:rPr>
          <w:sz w:val="22"/>
          <w:szCs w:val="22"/>
        </w:rPr>
        <w:t xml:space="preserve">current and planned alignment of </w:t>
      </w:r>
      <w:r w:rsidR="00B534D6" w:rsidRPr="0092580E">
        <w:rPr>
          <w:sz w:val="22"/>
          <w:szCs w:val="22"/>
        </w:rPr>
        <w:t>turnover,</w:t>
      </w:r>
      <w:r w:rsidR="00242EA8" w:rsidRPr="0092580E">
        <w:rPr>
          <w:sz w:val="22"/>
          <w:szCs w:val="22"/>
        </w:rPr>
        <w:t xml:space="preserve"> capital expenditure and operati</w:t>
      </w:r>
      <w:r w:rsidR="007640EC">
        <w:rPr>
          <w:sz w:val="22"/>
          <w:szCs w:val="22"/>
        </w:rPr>
        <w:t>onal</w:t>
      </w:r>
      <w:r w:rsidR="00242EA8" w:rsidRPr="0092580E">
        <w:rPr>
          <w:sz w:val="22"/>
          <w:szCs w:val="22"/>
        </w:rPr>
        <w:t xml:space="preserve"> expenditure against a taxonomy </w:t>
      </w:r>
      <w:r w:rsidR="00DE66E3" w:rsidRPr="0092580E">
        <w:rPr>
          <w:sz w:val="22"/>
          <w:szCs w:val="22"/>
        </w:rPr>
        <w:t>can</w:t>
      </w:r>
      <w:r w:rsidR="008A345A" w:rsidRPr="0092580E">
        <w:rPr>
          <w:sz w:val="22"/>
          <w:szCs w:val="22"/>
        </w:rPr>
        <w:t xml:space="preserve"> provide</w:t>
      </w:r>
      <w:r w:rsidR="001B0EA6">
        <w:rPr>
          <w:sz w:val="22"/>
          <w:szCs w:val="22"/>
        </w:rPr>
        <w:t xml:space="preserve"> measurable KPIs and data to </w:t>
      </w:r>
      <w:r w:rsidR="004854AD">
        <w:rPr>
          <w:sz w:val="22"/>
          <w:szCs w:val="22"/>
        </w:rPr>
        <w:t>inform transition</w:t>
      </w:r>
      <w:r w:rsidR="00713C5F">
        <w:rPr>
          <w:sz w:val="22"/>
          <w:szCs w:val="22"/>
        </w:rPr>
        <w:t xml:space="preserve"> plans. </w:t>
      </w:r>
      <w:r w:rsidR="00D103BB">
        <w:rPr>
          <w:sz w:val="22"/>
          <w:szCs w:val="22"/>
        </w:rPr>
        <w:t>R</w:t>
      </w:r>
      <w:r w:rsidR="004854AD">
        <w:rPr>
          <w:sz w:val="22"/>
          <w:szCs w:val="22"/>
        </w:rPr>
        <w:t xml:space="preserve">esearch has found that out of the 1700 </w:t>
      </w:r>
      <w:r w:rsidR="00E21FFD">
        <w:rPr>
          <w:sz w:val="22"/>
          <w:szCs w:val="22"/>
        </w:rPr>
        <w:t xml:space="preserve">companies </w:t>
      </w:r>
      <w:r w:rsidR="00B97C7F">
        <w:rPr>
          <w:sz w:val="22"/>
          <w:szCs w:val="22"/>
        </w:rPr>
        <w:t>that published EU green taxonomy reports, 600 identified their revenues and spending as part of their</w:t>
      </w:r>
      <w:r w:rsidR="009733C6">
        <w:rPr>
          <w:sz w:val="22"/>
          <w:szCs w:val="22"/>
        </w:rPr>
        <w:t xml:space="preserve"> climate</w:t>
      </w:r>
      <w:r w:rsidR="00B97C7F">
        <w:rPr>
          <w:sz w:val="22"/>
          <w:szCs w:val="22"/>
        </w:rPr>
        <w:t xml:space="preserve"> transition plans</w:t>
      </w:r>
      <w:r w:rsidR="0028077C">
        <w:rPr>
          <w:sz w:val="22"/>
          <w:szCs w:val="22"/>
        </w:rPr>
        <w:t>.</w:t>
      </w:r>
      <w:r w:rsidR="0028077C">
        <w:rPr>
          <w:rStyle w:val="FootnoteReference"/>
          <w:sz w:val="22"/>
          <w:szCs w:val="22"/>
        </w:rPr>
        <w:footnoteReference w:id="3"/>
      </w:r>
      <w:r w:rsidR="003D70A1">
        <w:rPr>
          <w:sz w:val="22"/>
          <w:szCs w:val="22"/>
        </w:rPr>
        <w:t xml:space="preserve"> </w:t>
      </w:r>
      <w:r w:rsidR="00B81EF0">
        <w:rPr>
          <w:sz w:val="22"/>
          <w:szCs w:val="22"/>
        </w:rPr>
        <w:t>Additionally,</w:t>
      </w:r>
      <w:r>
        <w:rPr>
          <w:sz w:val="22"/>
          <w:szCs w:val="22"/>
        </w:rPr>
        <w:t xml:space="preserve"> </w:t>
      </w:r>
      <w:r w:rsidR="000358C2">
        <w:rPr>
          <w:sz w:val="22"/>
          <w:szCs w:val="22"/>
        </w:rPr>
        <w:t xml:space="preserve">a taxonomy could help </w:t>
      </w:r>
      <w:r w:rsidR="00A609E3">
        <w:rPr>
          <w:sz w:val="22"/>
          <w:szCs w:val="22"/>
        </w:rPr>
        <w:t>channel capital to</w:t>
      </w:r>
      <w:r w:rsidR="00D103BB">
        <w:rPr>
          <w:sz w:val="22"/>
          <w:szCs w:val="22"/>
        </w:rPr>
        <w:t>wards</w:t>
      </w:r>
      <w:r w:rsidR="00A609E3">
        <w:rPr>
          <w:sz w:val="22"/>
          <w:szCs w:val="22"/>
        </w:rPr>
        <w:t xml:space="preserve"> hard-to-abate sectors, by providing clarity on ‘transitional’ activities</w:t>
      </w:r>
      <w:r w:rsidR="001D065F">
        <w:rPr>
          <w:sz w:val="22"/>
          <w:szCs w:val="22"/>
        </w:rPr>
        <w:t xml:space="preserve">. </w:t>
      </w:r>
    </w:p>
    <w:p w14:paraId="48234911" w14:textId="77777777" w:rsidR="00C942A5" w:rsidRDefault="00454007" w:rsidP="00B16C66">
      <w:pPr>
        <w:rPr>
          <w:color w:val="000000" w:themeColor="text1"/>
          <w:sz w:val="22"/>
          <w:szCs w:val="22"/>
        </w:rPr>
      </w:pPr>
      <w:r w:rsidRPr="005E0CD9">
        <w:rPr>
          <w:color w:val="000000" w:themeColor="text1"/>
          <w:sz w:val="22"/>
          <w:szCs w:val="22"/>
        </w:rPr>
        <w:lastRenderedPageBreak/>
        <w:t>Considering the significant uplift in regulatory reporting and disclosure</w:t>
      </w:r>
      <w:r w:rsidR="00020E14" w:rsidRPr="005E0CD9">
        <w:rPr>
          <w:color w:val="000000" w:themeColor="text1"/>
          <w:sz w:val="22"/>
          <w:szCs w:val="22"/>
        </w:rPr>
        <w:t xml:space="preserve"> expected both in the UK and EU, </w:t>
      </w:r>
      <w:r w:rsidR="00BD4240" w:rsidRPr="005E0CD9">
        <w:rPr>
          <w:color w:val="000000" w:themeColor="text1"/>
          <w:sz w:val="22"/>
          <w:szCs w:val="22"/>
        </w:rPr>
        <w:t>a UK green taxonomy should be made voluntary for economically significant companies</w:t>
      </w:r>
      <w:r w:rsidR="005D062C" w:rsidRPr="005E0CD9">
        <w:rPr>
          <w:color w:val="000000" w:themeColor="text1"/>
          <w:sz w:val="22"/>
          <w:szCs w:val="22"/>
        </w:rPr>
        <w:t>.</w:t>
      </w:r>
      <w:r w:rsidR="009733C6">
        <w:rPr>
          <w:color w:val="000000" w:themeColor="text1"/>
          <w:sz w:val="22"/>
          <w:szCs w:val="22"/>
        </w:rPr>
        <w:t xml:space="preserve"> </w:t>
      </w:r>
    </w:p>
    <w:p w14:paraId="5602B7BF" w14:textId="4451E78E" w:rsidR="0084139C" w:rsidRPr="006E08A7" w:rsidRDefault="007318C0" w:rsidP="006E08A7">
      <w:pPr>
        <w:rPr>
          <w:color w:val="000000" w:themeColor="text1"/>
          <w:sz w:val="22"/>
          <w:szCs w:val="22"/>
        </w:rPr>
      </w:pPr>
      <w:r w:rsidRPr="005E0CD9">
        <w:rPr>
          <w:color w:val="000000" w:themeColor="text1"/>
          <w:sz w:val="22"/>
          <w:szCs w:val="22"/>
        </w:rPr>
        <w:t xml:space="preserve">A voluntary approach would help ensure that the benefit-to-cost ratio remains proportionate by minimising the reporting burden for companies </w:t>
      </w:r>
      <w:r w:rsidR="003147CE" w:rsidRPr="005E0CD9">
        <w:rPr>
          <w:color w:val="000000" w:themeColor="text1"/>
          <w:sz w:val="22"/>
          <w:szCs w:val="22"/>
        </w:rPr>
        <w:t>while still offering a</w:t>
      </w:r>
      <w:r w:rsidR="005653C9" w:rsidRPr="005E0CD9">
        <w:rPr>
          <w:color w:val="000000" w:themeColor="text1"/>
          <w:sz w:val="22"/>
          <w:szCs w:val="22"/>
        </w:rPr>
        <w:t xml:space="preserve"> valuable</w:t>
      </w:r>
      <w:r w:rsidR="003147CE" w:rsidRPr="005E0CD9">
        <w:rPr>
          <w:color w:val="000000" w:themeColor="text1"/>
          <w:sz w:val="22"/>
          <w:szCs w:val="22"/>
        </w:rPr>
        <w:t xml:space="preserve"> tool to help tackle greenwashing and facilitate investment. This approach would also allow the UK to</w:t>
      </w:r>
      <w:r w:rsidR="00395963" w:rsidRPr="005E0CD9">
        <w:rPr>
          <w:color w:val="000000" w:themeColor="text1"/>
          <w:sz w:val="22"/>
          <w:szCs w:val="22"/>
        </w:rPr>
        <w:t xml:space="preserve"> resolve any potential usability issues that may </w:t>
      </w:r>
      <w:r w:rsidR="00535C28" w:rsidRPr="005E0CD9">
        <w:rPr>
          <w:color w:val="000000" w:themeColor="text1"/>
          <w:sz w:val="22"/>
          <w:szCs w:val="22"/>
        </w:rPr>
        <w:t>emerge</w:t>
      </w:r>
      <w:r w:rsidR="001A1460" w:rsidRPr="005E0CD9">
        <w:rPr>
          <w:color w:val="000000" w:themeColor="text1"/>
          <w:sz w:val="22"/>
          <w:szCs w:val="22"/>
        </w:rPr>
        <w:t xml:space="preserve">, </w:t>
      </w:r>
      <w:r w:rsidR="00535C28" w:rsidRPr="005E0CD9">
        <w:rPr>
          <w:color w:val="000000" w:themeColor="text1"/>
          <w:sz w:val="22"/>
          <w:szCs w:val="22"/>
        </w:rPr>
        <w:t xml:space="preserve">while monitoring developments in the EU through its Omnibus proposal, without the need for legislative amendments. </w:t>
      </w:r>
      <w:r w:rsidR="00341911" w:rsidRPr="005E0CD9">
        <w:rPr>
          <w:color w:val="000000" w:themeColor="text1"/>
          <w:sz w:val="22"/>
          <w:szCs w:val="22"/>
        </w:rPr>
        <w:t xml:space="preserve">This would also give the </w:t>
      </w:r>
      <w:r w:rsidR="00E02520" w:rsidRPr="005E0CD9">
        <w:rPr>
          <w:color w:val="000000" w:themeColor="text1"/>
          <w:sz w:val="22"/>
          <w:szCs w:val="22"/>
        </w:rPr>
        <w:t xml:space="preserve">UK government the option to make taxonomy alignment disclosures mandatory in the future, should it become appropriate. </w:t>
      </w:r>
    </w:p>
    <w:p w14:paraId="5ACCC8EE" w14:textId="5A3FF44D" w:rsidR="00D04FE7" w:rsidRPr="006E08A7" w:rsidRDefault="000464B5" w:rsidP="006E08A7">
      <w:pPr>
        <w:pStyle w:val="ListParagraph"/>
        <w:numPr>
          <w:ilvl w:val="0"/>
          <w:numId w:val="32"/>
        </w:numPr>
        <w:rPr>
          <w:b/>
          <w:bCs/>
          <w:color w:val="000000" w:themeColor="text1"/>
          <w:sz w:val="22"/>
          <w:szCs w:val="22"/>
        </w:rPr>
      </w:pPr>
      <w:r w:rsidRPr="006E08A7">
        <w:rPr>
          <w:b/>
          <w:bCs/>
          <w:color w:val="000000" w:themeColor="text1"/>
          <w:sz w:val="22"/>
          <w:szCs w:val="22"/>
        </w:rPr>
        <w:t>How can activity-level standards or data support decision making and complement other government sustainable finance policies and the use of entity-level data (e.g. as provided by ISSB disclosures or transition plans)?</w:t>
      </w:r>
      <w:r w:rsidR="00DE29AB" w:rsidRPr="006E08A7">
        <w:rPr>
          <w:b/>
          <w:bCs/>
          <w:color w:val="000000" w:themeColor="text1"/>
          <w:sz w:val="22"/>
          <w:szCs w:val="22"/>
        </w:rPr>
        <w:t xml:space="preserve"> (Optional)</w:t>
      </w:r>
    </w:p>
    <w:p w14:paraId="129FDBA5" w14:textId="7352CCFF" w:rsidR="00D04FE7" w:rsidRPr="005E0CD9" w:rsidRDefault="00D04FE7" w:rsidP="00B26EB9">
      <w:pPr>
        <w:rPr>
          <w:color w:val="000000" w:themeColor="text1"/>
          <w:sz w:val="22"/>
          <w:szCs w:val="22"/>
        </w:rPr>
      </w:pPr>
      <w:r w:rsidRPr="005E0CD9">
        <w:rPr>
          <w:color w:val="000000" w:themeColor="text1"/>
          <w:sz w:val="22"/>
          <w:szCs w:val="22"/>
        </w:rPr>
        <w:t xml:space="preserve">A UK </w:t>
      </w:r>
      <w:r w:rsidR="009B25A8" w:rsidRPr="005E0CD9">
        <w:rPr>
          <w:color w:val="000000" w:themeColor="text1"/>
          <w:sz w:val="22"/>
          <w:szCs w:val="22"/>
        </w:rPr>
        <w:t>green t</w:t>
      </w:r>
      <w:r w:rsidRPr="005E0CD9">
        <w:rPr>
          <w:color w:val="000000" w:themeColor="text1"/>
          <w:sz w:val="22"/>
          <w:szCs w:val="22"/>
        </w:rPr>
        <w:t xml:space="preserve">axonomy is necessary to underpin and support the </w:t>
      </w:r>
      <w:r w:rsidR="001B78C4">
        <w:rPr>
          <w:color w:val="000000" w:themeColor="text1"/>
          <w:sz w:val="22"/>
          <w:szCs w:val="22"/>
        </w:rPr>
        <w:t xml:space="preserve">government’s </w:t>
      </w:r>
      <w:r w:rsidRPr="005E0CD9">
        <w:rPr>
          <w:color w:val="000000" w:themeColor="text1"/>
          <w:sz w:val="22"/>
          <w:szCs w:val="22"/>
        </w:rPr>
        <w:t xml:space="preserve">green regulatory. For example, disclosing alignment of revenue, capital expenditure and operational expenditure against a taxonomy can inform transition planning and provide supporting data. </w:t>
      </w:r>
    </w:p>
    <w:p w14:paraId="4ADFDCE9" w14:textId="69C2A9BC" w:rsidR="000B0ACA" w:rsidRPr="006E08A7" w:rsidRDefault="000C657C" w:rsidP="006E08A7">
      <w:pPr>
        <w:rPr>
          <w:color w:val="000000" w:themeColor="text1"/>
          <w:sz w:val="22"/>
          <w:szCs w:val="22"/>
        </w:rPr>
      </w:pPr>
      <w:r w:rsidRPr="005E0CD9">
        <w:rPr>
          <w:color w:val="000000" w:themeColor="text1"/>
          <w:sz w:val="22"/>
          <w:szCs w:val="22"/>
        </w:rPr>
        <w:t>Crucially,</w:t>
      </w:r>
      <w:r w:rsidR="006A5059" w:rsidRPr="005E0CD9">
        <w:rPr>
          <w:color w:val="000000" w:themeColor="text1"/>
          <w:sz w:val="22"/>
          <w:szCs w:val="22"/>
        </w:rPr>
        <w:t xml:space="preserve"> a UK green taxonomy would provide investors with </w:t>
      </w:r>
      <w:r w:rsidRPr="005E0CD9">
        <w:rPr>
          <w:color w:val="000000" w:themeColor="text1"/>
          <w:sz w:val="22"/>
          <w:szCs w:val="22"/>
        </w:rPr>
        <w:t>comparable, consistent</w:t>
      </w:r>
      <w:r w:rsidR="0034612C" w:rsidRPr="005E0CD9">
        <w:rPr>
          <w:color w:val="000000" w:themeColor="text1"/>
          <w:sz w:val="22"/>
          <w:szCs w:val="22"/>
        </w:rPr>
        <w:t xml:space="preserve"> and decision-useful</w:t>
      </w:r>
      <w:r w:rsidRPr="005E0CD9">
        <w:rPr>
          <w:color w:val="000000" w:themeColor="text1"/>
          <w:sz w:val="22"/>
          <w:szCs w:val="22"/>
        </w:rPr>
        <w:t xml:space="preserve"> </w:t>
      </w:r>
      <w:r w:rsidR="006A5059" w:rsidRPr="005E0CD9">
        <w:rPr>
          <w:color w:val="000000" w:themeColor="text1"/>
          <w:sz w:val="22"/>
          <w:szCs w:val="22"/>
        </w:rPr>
        <w:t>data</w:t>
      </w:r>
      <w:r w:rsidR="009B3CC5" w:rsidRPr="005E0CD9">
        <w:rPr>
          <w:color w:val="000000" w:themeColor="text1"/>
          <w:sz w:val="22"/>
          <w:szCs w:val="22"/>
        </w:rPr>
        <w:t xml:space="preserve"> </w:t>
      </w:r>
      <w:r w:rsidR="000375CF">
        <w:rPr>
          <w:color w:val="000000" w:themeColor="text1"/>
          <w:sz w:val="22"/>
          <w:szCs w:val="22"/>
        </w:rPr>
        <w:t>to</w:t>
      </w:r>
      <w:r w:rsidR="006A5059" w:rsidRPr="005E0CD9">
        <w:rPr>
          <w:color w:val="000000" w:themeColor="text1"/>
          <w:sz w:val="22"/>
          <w:szCs w:val="22"/>
        </w:rPr>
        <w:t xml:space="preserve"> base investment decisions</w:t>
      </w:r>
      <w:r w:rsidR="000375CF">
        <w:rPr>
          <w:color w:val="000000" w:themeColor="text1"/>
          <w:sz w:val="22"/>
          <w:szCs w:val="22"/>
        </w:rPr>
        <w:t xml:space="preserve"> on</w:t>
      </w:r>
      <w:r w:rsidRPr="005E0CD9">
        <w:rPr>
          <w:color w:val="000000" w:themeColor="text1"/>
          <w:sz w:val="22"/>
          <w:szCs w:val="22"/>
        </w:rPr>
        <w:t>.</w:t>
      </w:r>
      <w:r w:rsidR="00995932" w:rsidRPr="005E0CD9">
        <w:rPr>
          <w:color w:val="000000" w:themeColor="text1"/>
          <w:sz w:val="22"/>
          <w:szCs w:val="22"/>
        </w:rPr>
        <w:t xml:space="preserve"> This data </w:t>
      </w:r>
      <w:r w:rsidR="00860B26" w:rsidRPr="005E0CD9">
        <w:rPr>
          <w:color w:val="000000" w:themeColor="text1"/>
          <w:sz w:val="22"/>
          <w:szCs w:val="22"/>
        </w:rPr>
        <w:t xml:space="preserve">provides clarity on the green credentials of both the current performance and future investment of companies, highlighting not only top performers across economic sectors but companies actively transitioning. </w:t>
      </w:r>
    </w:p>
    <w:p w14:paraId="6B5A851C" w14:textId="6571EA36" w:rsidR="000464B5" w:rsidRPr="006E08A7" w:rsidRDefault="000464B5" w:rsidP="006E08A7">
      <w:pPr>
        <w:pStyle w:val="ListParagraph"/>
        <w:numPr>
          <w:ilvl w:val="0"/>
          <w:numId w:val="31"/>
        </w:numPr>
        <w:rPr>
          <w:b/>
          <w:bCs/>
          <w:color w:val="000000" w:themeColor="text1"/>
          <w:sz w:val="22"/>
          <w:szCs w:val="22"/>
        </w:rPr>
      </w:pPr>
      <w:r w:rsidRPr="006E08A7">
        <w:rPr>
          <w:b/>
          <w:bCs/>
          <w:color w:val="000000" w:themeColor="text1"/>
          <w:sz w:val="22"/>
          <w:szCs w:val="22"/>
        </w:rPr>
        <w:t xml:space="preserve">What are the specific use cases for a UK Taxonomy which would contribute to the stated goals? This could include through voluntary use cases or through links to government policy and regulation. </w:t>
      </w:r>
    </w:p>
    <w:p w14:paraId="128C2CEA" w14:textId="76191C95" w:rsidR="00C1324A" w:rsidRPr="005E0CD9" w:rsidRDefault="00587D8F" w:rsidP="00C1324A">
      <w:pPr>
        <w:rPr>
          <w:color w:val="000000" w:themeColor="text1"/>
          <w:sz w:val="22"/>
          <w:szCs w:val="22"/>
        </w:rPr>
      </w:pPr>
      <w:r w:rsidRPr="005E0CD9">
        <w:rPr>
          <w:color w:val="000000" w:themeColor="text1"/>
          <w:sz w:val="22"/>
          <w:szCs w:val="22"/>
        </w:rPr>
        <w:t>Previous work carried out by the</w:t>
      </w:r>
      <w:r w:rsidR="005C29C4" w:rsidRPr="005E0CD9">
        <w:rPr>
          <w:color w:val="000000" w:themeColor="text1"/>
          <w:sz w:val="22"/>
          <w:szCs w:val="22"/>
        </w:rPr>
        <w:t xml:space="preserve"> Green Technical Advisory Group</w:t>
      </w:r>
      <w:r w:rsidRPr="005E0CD9">
        <w:rPr>
          <w:color w:val="000000" w:themeColor="text1"/>
          <w:sz w:val="22"/>
          <w:szCs w:val="22"/>
        </w:rPr>
        <w:t xml:space="preserve"> highlighted 20 potential use cases of a UK </w:t>
      </w:r>
      <w:r w:rsidR="009B25A8" w:rsidRPr="005E0CD9">
        <w:rPr>
          <w:color w:val="000000" w:themeColor="text1"/>
          <w:sz w:val="22"/>
          <w:szCs w:val="22"/>
        </w:rPr>
        <w:t>g</w:t>
      </w:r>
      <w:r w:rsidRPr="005E0CD9">
        <w:rPr>
          <w:color w:val="000000" w:themeColor="text1"/>
          <w:sz w:val="22"/>
          <w:szCs w:val="22"/>
        </w:rPr>
        <w:t xml:space="preserve">reen </w:t>
      </w:r>
      <w:r w:rsidR="009B25A8" w:rsidRPr="005E0CD9">
        <w:rPr>
          <w:color w:val="000000" w:themeColor="text1"/>
          <w:sz w:val="22"/>
          <w:szCs w:val="22"/>
        </w:rPr>
        <w:t>t</w:t>
      </w:r>
      <w:r w:rsidRPr="005E0CD9">
        <w:rPr>
          <w:color w:val="000000" w:themeColor="text1"/>
          <w:sz w:val="22"/>
          <w:szCs w:val="22"/>
        </w:rPr>
        <w:t>axonomy</w:t>
      </w:r>
      <w:r w:rsidR="00745D7F">
        <w:rPr>
          <w:color w:val="000000" w:themeColor="text1"/>
          <w:sz w:val="22"/>
          <w:szCs w:val="22"/>
        </w:rPr>
        <w:t>.</w:t>
      </w:r>
      <w:r w:rsidR="00745D7F">
        <w:rPr>
          <w:rStyle w:val="FootnoteReference"/>
          <w:color w:val="000000" w:themeColor="text1"/>
          <w:sz w:val="22"/>
          <w:szCs w:val="22"/>
        </w:rPr>
        <w:footnoteReference w:id="4"/>
      </w:r>
      <w:r w:rsidRPr="005E0CD9">
        <w:rPr>
          <w:color w:val="000000" w:themeColor="text1"/>
          <w:sz w:val="22"/>
          <w:szCs w:val="22"/>
        </w:rPr>
        <w:t xml:space="preserve"> </w:t>
      </w:r>
    </w:p>
    <w:p w14:paraId="7069FF36" w14:textId="3C6A6475" w:rsidR="00DA0666" w:rsidRPr="005E0CD9" w:rsidRDefault="00F547F1" w:rsidP="00C1324A">
      <w:pPr>
        <w:rPr>
          <w:color w:val="000000" w:themeColor="text1"/>
          <w:sz w:val="22"/>
          <w:szCs w:val="22"/>
        </w:rPr>
      </w:pPr>
      <w:r w:rsidRPr="005E0CD9">
        <w:rPr>
          <w:color w:val="000000" w:themeColor="text1"/>
          <w:sz w:val="22"/>
          <w:szCs w:val="22"/>
        </w:rPr>
        <w:t xml:space="preserve">A </w:t>
      </w:r>
      <w:r w:rsidR="00066771" w:rsidRPr="005E0CD9">
        <w:rPr>
          <w:color w:val="000000" w:themeColor="text1"/>
          <w:sz w:val="22"/>
          <w:szCs w:val="22"/>
        </w:rPr>
        <w:t>t</w:t>
      </w:r>
      <w:r w:rsidRPr="005E0CD9">
        <w:rPr>
          <w:color w:val="000000" w:themeColor="text1"/>
          <w:sz w:val="22"/>
          <w:szCs w:val="22"/>
        </w:rPr>
        <w:t xml:space="preserve">axonomy could </w:t>
      </w:r>
      <w:r w:rsidR="00665403" w:rsidRPr="005E0CD9">
        <w:rPr>
          <w:color w:val="000000" w:themeColor="text1"/>
          <w:sz w:val="22"/>
          <w:szCs w:val="22"/>
        </w:rPr>
        <w:t>contribute</w:t>
      </w:r>
      <w:r w:rsidR="00066771" w:rsidRPr="005E0CD9">
        <w:rPr>
          <w:color w:val="000000" w:themeColor="text1"/>
          <w:sz w:val="22"/>
          <w:szCs w:val="22"/>
        </w:rPr>
        <w:t xml:space="preserve"> to the government’s </w:t>
      </w:r>
      <w:r w:rsidR="00B41CE6" w:rsidRPr="005E0CD9">
        <w:rPr>
          <w:color w:val="000000" w:themeColor="text1"/>
          <w:sz w:val="22"/>
          <w:szCs w:val="22"/>
        </w:rPr>
        <w:t xml:space="preserve">goal of mobilising capital </w:t>
      </w:r>
      <w:r w:rsidR="00266565" w:rsidRPr="005E0CD9">
        <w:rPr>
          <w:color w:val="000000" w:themeColor="text1"/>
          <w:sz w:val="22"/>
          <w:szCs w:val="22"/>
        </w:rPr>
        <w:t>to facilitate achievement of UK environmental policy goals</w:t>
      </w:r>
      <w:r w:rsidR="00665403" w:rsidRPr="005E0CD9">
        <w:rPr>
          <w:color w:val="000000" w:themeColor="text1"/>
          <w:sz w:val="22"/>
          <w:szCs w:val="22"/>
        </w:rPr>
        <w:t xml:space="preserve">. </w:t>
      </w:r>
      <w:r w:rsidR="0010189D" w:rsidRPr="005E0CD9">
        <w:rPr>
          <w:color w:val="000000" w:themeColor="text1"/>
          <w:sz w:val="22"/>
          <w:szCs w:val="22"/>
        </w:rPr>
        <w:t xml:space="preserve">First, </w:t>
      </w:r>
      <w:r w:rsidR="007751F7" w:rsidRPr="005E0CD9">
        <w:rPr>
          <w:color w:val="000000" w:themeColor="text1"/>
          <w:sz w:val="22"/>
          <w:szCs w:val="22"/>
        </w:rPr>
        <w:t>it</w:t>
      </w:r>
      <w:r w:rsidR="00665403" w:rsidRPr="005E0CD9">
        <w:rPr>
          <w:color w:val="000000" w:themeColor="text1"/>
          <w:sz w:val="22"/>
          <w:szCs w:val="22"/>
        </w:rPr>
        <w:t xml:space="preserve"> could be </w:t>
      </w:r>
      <w:r w:rsidR="00B41CE6" w:rsidRPr="005E0CD9">
        <w:rPr>
          <w:color w:val="000000" w:themeColor="text1"/>
          <w:sz w:val="22"/>
          <w:szCs w:val="22"/>
        </w:rPr>
        <w:t xml:space="preserve">used to underpin national public finance </w:t>
      </w:r>
      <w:r w:rsidR="00266565" w:rsidRPr="005E0CD9">
        <w:rPr>
          <w:color w:val="000000" w:themeColor="text1"/>
          <w:sz w:val="22"/>
          <w:szCs w:val="22"/>
        </w:rPr>
        <w:t>to ensure capital is flowing into sectors critical for the transition.</w:t>
      </w:r>
      <w:r w:rsidR="00531D68" w:rsidRPr="005E0CD9">
        <w:rPr>
          <w:color w:val="000000" w:themeColor="text1"/>
          <w:sz w:val="22"/>
          <w:szCs w:val="22"/>
        </w:rPr>
        <w:t xml:space="preserve"> Public </w:t>
      </w:r>
      <w:r w:rsidR="00EE2DE9" w:rsidRPr="005E0CD9">
        <w:rPr>
          <w:color w:val="000000" w:themeColor="text1"/>
          <w:sz w:val="22"/>
          <w:szCs w:val="22"/>
        </w:rPr>
        <w:t>F</w:t>
      </w:r>
      <w:r w:rsidR="00531D68" w:rsidRPr="005E0CD9">
        <w:rPr>
          <w:color w:val="000000" w:themeColor="text1"/>
          <w:sz w:val="22"/>
          <w:szCs w:val="22"/>
        </w:rPr>
        <w:t xml:space="preserve">inancial </w:t>
      </w:r>
      <w:r w:rsidR="00EE2DE9" w:rsidRPr="005E0CD9">
        <w:rPr>
          <w:color w:val="000000" w:themeColor="text1"/>
          <w:sz w:val="22"/>
          <w:szCs w:val="22"/>
        </w:rPr>
        <w:t>I</w:t>
      </w:r>
      <w:r w:rsidR="00531D68" w:rsidRPr="005E0CD9">
        <w:rPr>
          <w:color w:val="000000" w:themeColor="text1"/>
          <w:sz w:val="22"/>
          <w:szCs w:val="22"/>
        </w:rPr>
        <w:t>nstitutions</w:t>
      </w:r>
      <w:r w:rsidR="00EE2DE9" w:rsidRPr="005E0CD9">
        <w:rPr>
          <w:color w:val="000000" w:themeColor="text1"/>
          <w:sz w:val="22"/>
          <w:szCs w:val="22"/>
        </w:rPr>
        <w:t xml:space="preserve"> (PFIs)</w:t>
      </w:r>
      <w:r w:rsidR="00531D68" w:rsidRPr="005E0CD9">
        <w:rPr>
          <w:color w:val="000000" w:themeColor="text1"/>
          <w:sz w:val="22"/>
          <w:szCs w:val="22"/>
        </w:rPr>
        <w:t xml:space="preserve">, for example, could use the taxonomy to screen investment decisions to </w:t>
      </w:r>
      <w:r w:rsidR="001D74B8" w:rsidRPr="005E0CD9">
        <w:rPr>
          <w:color w:val="000000" w:themeColor="text1"/>
          <w:sz w:val="22"/>
          <w:szCs w:val="22"/>
        </w:rPr>
        <w:t xml:space="preserve">help classify the sustainability and impact of investments. </w:t>
      </w:r>
      <w:r w:rsidR="00BD2172" w:rsidRPr="005E0CD9">
        <w:rPr>
          <w:color w:val="000000" w:themeColor="text1"/>
          <w:sz w:val="22"/>
          <w:szCs w:val="22"/>
        </w:rPr>
        <w:t xml:space="preserve">The UK Infrastructure Bank previously committed to “monitor its portfolio’s alignment against the UK </w:t>
      </w:r>
      <w:r w:rsidR="009B25A8" w:rsidRPr="005E0CD9">
        <w:rPr>
          <w:color w:val="000000" w:themeColor="text1"/>
          <w:sz w:val="22"/>
          <w:szCs w:val="22"/>
        </w:rPr>
        <w:t>g</w:t>
      </w:r>
      <w:r w:rsidR="00BD2172" w:rsidRPr="005E0CD9">
        <w:rPr>
          <w:color w:val="000000" w:themeColor="text1"/>
          <w:sz w:val="22"/>
          <w:szCs w:val="22"/>
        </w:rPr>
        <w:t xml:space="preserve">reen </w:t>
      </w:r>
      <w:r w:rsidR="009B25A8" w:rsidRPr="005E0CD9">
        <w:rPr>
          <w:color w:val="000000" w:themeColor="text1"/>
          <w:sz w:val="22"/>
          <w:szCs w:val="22"/>
        </w:rPr>
        <w:t>t</w:t>
      </w:r>
      <w:r w:rsidR="00BD2172" w:rsidRPr="005E0CD9">
        <w:rPr>
          <w:color w:val="000000" w:themeColor="text1"/>
          <w:sz w:val="22"/>
          <w:szCs w:val="22"/>
        </w:rPr>
        <w:t>axonomy, when it is finalised”</w:t>
      </w:r>
      <w:r w:rsidR="00055FEC" w:rsidRPr="005E0CD9">
        <w:rPr>
          <w:color w:val="000000" w:themeColor="text1"/>
          <w:sz w:val="22"/>
          <w:szCs w:val="22"/>
        </w:rPr>
        <w:t xml:space="preserve"> in its 2022 Strategic Plan.</w:t>
      </w:r>
      <w:r w:rsidR="00801A7C">
        <w:rPr>
          <w:rStyle w:val="FootnoteReference"/>
          <w:color w:val="000000" w:themeColor="text1"/>
          <w:sz w:val="22"/>
          <w:szCs w:val="22"/>
        </w:rPr>
        <w:footnoteReference w:id="5"/>
      </w:r>
      <w:r w:rsidR="00055FEC" w:rsidRPr="005E0CD9">
        <w:rPr>
          <w:color w:val="000000" w:themeColor="text1"/>
          <w:sz w:val="22"/>
          <w:szCs w:val="22"/>
        </w:rPr>
        <w:t xml:space="preserve"> The </w:t>
      </w:r>
      <w:r w:rsidR="005D60C1" w:rsidRPr="005E0CD9">
        <w:rPr>
          <w:color w:val="000000" w:themeColor="text1"/>
          <w:sz w:val="22"/>
          <w:szCs w:val="22"/>
        </w:rPr>
        <w:t>newly established</w:t>
      </w:r>
      <w:r w:rsidR="00055FEC" w:rsidRPr="005E0CD9">
        <w:rPr>
          <w:color w:val="000000" w:themeColor="text1"/>
          <w:sz w:val="22"/>
          <w:szCs w:val="22"/>
        </w:rPr>
        <w:t xml:space="preserve"> National Wealth Fund</w:t>
      </w:r>
      <w:r w:rsidR="00EE2DE9" w:rsidRPr="005E0CD9">
        <w:rPr>
          <w:color w:val="000000" w:themeColor="text1"/>
          <w:sz w:val="22"/>
          <w:szCs w:val="22"/>
        </w:rPr>
        <w:t xml:space="preserve">, as well as other PFIs like the British Business Bank, could </w:t>
      </w:r>
      <w:r w:rsidR="007A5496" w:rsidRPr="005E0CD9">
        <w:rPr>
          <w:color w:val="000000" w:themeColor="text1"/>
          <w:sz w:val="22"/>
          <w:szCs w:val="22"/>
        </w:rPr>
        <w:t>also commit to us</w:t>
      </w:r>
      <w:r w:rsidR="00CC14AE" w:rsidRPr="005E0CD9">
        <w:rPr>
          <w:color w:val="000000" w:themeColor="text1"/>
          <w:sz w:val="22"/>
          <w:szCs w:val="22"/>
        </w:rPr>
        <w:t>ing</w:t>
      </w:r>
      <w:r w:rsidR="007A5496" w:rsidRPr="005E0CD9">
        <w:rPr>
          <w:color w:val="000000" w:themeColor="text1"/>
          <w:sz w:val="22"/>
          <w:szCs w:val="22"/>
        </w:rPr>
        <w:t xml:space="preserve"> the taxonomy in a similar way. </w:t>
      </w:r>
      <w:r w:rsidR="005D60C1" w:rsidRPr="005E0CD9">
        <w:rPr>
          <w:color w:val="000000" w:themeColor="text1"/>
          <w:sz w:val="22"/>
          <w:szCs w:val="22"/>
        </w:rPr>
        <w:t>S</w:t>
      </w:r>
      <w:r w:rsidR="0010189D" w:rsidRPr="005E0CD9">
        <w:rPr>
          <w:color w:val="000000" w:themeColor="text1"/>
          <w:sz w:val="22"/>
          <w:szCs w:val="22"/>
        </w:rPr>
        <w:t>econd</w:t>
      </w:r>
      <w:r w:rsidR="005D60C1" w:rsidRPr="005E0CD9">
        <w:rPr>
          <w:color w:val="000000" w:themeColor="text1"/>
          <w:sz w:val="22"/>
          <w:szCs w:val="22"/>
        </w:rPr>
        <w:t xml:space="preserve">, </w:t>
      </w:r>
      <w:r w:rsidR="00AF328B" w:rsidRPr="005E0CD9">
        <w:rPr>
          <w:color w:val="000000" w:themeColor="text1"/>
          <w:sz w:val="22"/>
          <w:szCs w:val="22"/>
        </w:rPr>
        <w:t>the government and data providers</w:t>
      </w:r>
      <w:r w:rsidR="005D60C1" w:rsidRPr="005E0CD9">
        <w:rPr>
          <w:color w:val="000000" w:themeColor="text1"/>
          <w:sz w:val="22"/>
          <w:szCs w:val="22"/>
        </w:rPr>
        <w:t xml:space="preserve"> </w:t>
      </w:r>
      <w:r w:rsidR="000834B6" w:rsidRPr="005E0CD9">
        <w:rPr>
          <w:color w:val="000000" w:themeColor="text1"/>
          <w:sz w:val="22"/>
          <w:szCs w:val="22"/>
        </w:rPr>
        <w:t xml:space="preserve">could use </w:t>
      </w:r>
      <w:r w:rsidR="00691C26" w:rsidRPr="005E0CD9">
        <w:rPr>
          <w:color w:val="000000" w:themeColor="text1"/>
          <w:sz w:val="22"/>
          <w:szCs w:val="22"/>
        </w:rPr>
        <w:t>it</w:t>
      </w:r>
      <w:r w:rsidR="000834B6" w:rsidRPr="005E0CD9">
        <w:rPr>
          <w:color w:val="000000" w:themeColor="text1"/>
          <w:sz w:val="22"/>
          <w:szCs w:val="22"/>
        </w:rPr>
        <w:t xml:space="preserve"> </w:t>
      </w:r>
      <w:r w:rsidR="002438B6" w:rsidRPr="005E0CD9">
        <w:rPr>
          <w:color w:val="000000" w:themeColor="text1"/>
          <w:sz w:val="22"/>
          <w:szCs w:val="22"/>
        </w:rPr>
        <w:t xml:space="preserve">to underpin a model </w:t>
      </w:r>
      <w:r w:rsidR="00E1313D" w:rsidRPr="005E0CD9">
        <w:rPr>
          <w:color w:val="000000" w:themeColor="text1"/>
          <w:sz w:val="22"/>
          <w:szCs w:val="22"/>
        </w:rPr>
        <w:t xml:space="preserve">for tracking </w:t>
      </w:r>
      <w:r w:rsidR="00D83922" w:rsidRPr="005E0CD9">
        <w:rPr>
          <w:color w:val="000000" w:themeColor="text1"/>
          <w:sz w:val="22"/>
          <w:szCs w:val="22"/>
        </w:rPr>
        <w:t>green</w:t>
      </w:r>
      <w:r w:rsidR="00E1313D" w:rsidRPr="005E0CD9">
        <w:rPr>
          <w:color w:val="000000" w:themeColor="text1"/>
          <w:sz w:val="22"/>
          <w:szCs w:val="22"/>
        </w:rPr>
        <w:t xml:space="preserve"> financial flows. This dat</w:t>
      </w:r>
      <w:r w:rsidR="00D83922" w:rsidRPr="005E0CD9">
        <w:rPr>
          <w:color w:val="000000" w:themeColor="text1"/>
          <w:sz w:val="22"/>
          <w:szCs w:val="22"/>
        </w:rPr>
        <w:t>a would enable the government to track in</w:t>
      </w:r>
      <w:r w:rsidR="00FA15CA" w:rsidRPr="005E0CD9">
        <w:rPr>
          <w:color w:val="000000" w:themeColor="text1"/>
          <w:sz w:val="22"/>
          <w:szCs w:val="22"/>
        </w:rPr>
        <w:t>vestment (public and private) into the UK’s net zero transition</w:t>
      </w:r>
      <w:r w:rsidR="005C6AF4" w:rsidRPr="005E0CD9">
        <w:rPr>
          <w:color w:val="000000" w:themeColor="text1"/>
          <w:sz w:val="22"/>
          <w:szCs w:val="22"/>
        </w:rPr>
        <w:t>, identify key areas where there is u</w:t>
      </w:r>
      <w:r w:rsidR="0085326D" w:rsidRPr="005E0CD9">
        <w:rPr>
          <w:color w:val="000000" w:themeColor="text1"/>
          <w:sz w:val="22"/>
          <w:szCs w:val="22"/>
        </w:rPr>
        <w:t xml:space="preserve">nderinvestment, </w:t>
      </w:r>
      <w:r w:rsidR="00133601" w:rsidRPr="005E0CD9">
        <w:rPr>
          <w:color w:val="000000" w:themeColor="text1"/>
          <w:sz w:val="22"/>
          <w:szCs w:val="22"/>
        </w:rPr>
        <w:t xml:space="preserve">and monitor the growth of the UK green economy. </w:t>
      </w:r>
    </w:p>
    <w:p w14:paraId="76C8FA3E" w14:textId="320F9BB2" w:rsidR="00AF4AAB" w:rsidRPr="006E08A7" w:rsidRDefault="001347B9" w:rsidP="006E08A7">
      <w:pPr>
        <w:rPr>
          <w:color w:val="000000" w:themeColor="text1"/>
          <w:sz w:val="22"/>
          <w:szCs w:val="22"/>
        </w:rPr>
      </w:pPr>
      <w:r w:rsidRPr="005E0CD9">
        <w:rPr>
          <w:color w:val="000000" w:themeColor="text1"/>
          <w:sz w:val="22"/>
          <w:szCs w:val="22"/>
        </w:rPr>
        <w:lastRenderedPageBreak/>
        <w:t xml:space="preserve">A </w:t>
      </w:r>
      <w:r w:rsidR="005B493C" w:rsidRPr="005E0CD9">
        <w:rPr>
          <w:color w:val="000000" w:themeColor="text1"/>
          <w:sz w:val="22"/>
          <w:szCs w:val="22"/>
        </w:rPr>
        <w:t xml:space="preserve">robust, science-based </w:t>
      </w:r>
      <w:r w:rsidRPr="005E0CD9">
        <w:rPr>
          <w:color w:val="000000" w:themeColor="text1"/>
          <w:sz w:val="22"/>
          <w:szCs w:val="22"/>
        </w:rPr>
        <w:t xml:space="preserve">taxonomy could also contribute to the </w:t>
      </w:r>
      <w:r w:rsidR="005F1CC2" w:rsidRPr="005E0CD9">
        <w:rPr>
          <w:color w:val="000000" w:themeColor="text1"/>
          <w:sz w:val="22"/>
          <w:szCs w:val="22"/>
        </w:rPr>
        <w:t xml:space="preserve">government’s goal of promoting market integrity and preventing greenwashing by </w:t>
      </w:r>
      <w:r w:rsidR="00831184" w:rsidRPr="005E0CD9">
        <w:rPr>
          <w:color w:val="000000" w:themeColor="text1"/>
          <w:sz w:val="22"/>
          <w:szCs w:val="22"/>
        </w:rPr>
        <w:t>classifying</w:t>
      </w:r>
      <w:r w:rsidR="005F1CC2" w:rsidRPr="005E0CD9">
        <w:rPr>
          <w:color w:val="000000" w:themeColor="text1"/>
          <w:sz w:val="22"/>
          <w:szCs w:val="22"/>
        </w:rPr>
        <w:t xml:space="preserve"> which</w:t>
      </w:r>
      <w:r w:rsidR="00FF262B" w:rsidRPr="005E0CD9">
        <w:rPr>
          <w:color w:val="000000" w:themeColor="text1"/>
          <w:sz w:val="22"/>
          <w:szCs w:val="22"/>
        </w:rPr>
        <w:t xml:space="preserve"> </w:t>
      </w:r>
      <w:r w:rsidR="001F1925" w:rsidRPr="005E0CD9">
        <w:rPr>
          <w:color w:val="000000" w:themeColor="text1"/>
          <w:sz w:val="22"/>
          <w:szCs w:val="22"/>
        </w:rPr>
        <w:t xml:space="preserve">economic </w:t>
      </w:r>
      <w:r w:rsidR="00FF262B" w:rsidRPr="005E0CD9">
        <w:rPr>
          <w:color w:val="000000" w:themeColor="text1"/>
          <w:sz w:val="22"/>
          <w:szCs w:val="22"/>
        </w:rPr>
        <w:t>activities can be considered</w:t>
      </w:r>
      <w:r w:rsidR="005F1CC2" w:rsidRPr="005E0CD9">
        <w:rPr>
          <w:color w:val="000000" w:themeColor="text1"/>
          <w:sz w:val="22"/>
          <w:szCs w:val="22"/>
        </w:rPr>
        <w:t xml:space="preserve"> </w:t>
      </w:r>
      <w:r w:rsidR="00831184" w:rsidRPr="005E0CD9">
        <w:rPr>
          <w:color w:val="000000" w:themeColor="text1"/>
          <w:sz w:val="22"/>
          <w:szCs w:val="22"/>
        </w:rPr>
        <w:t>‘</w:t>
      </w:r>
      <w:r w:rsidR="005F1CC2" w:rsidRPr="005E0CD9">
        <w:rPr>
          <w:color w:val="000000" w:themeColor="text1"/>
          <w:sz w:val="22"/>
          <w:szCs w:val="22"/>
        </w:rPr>
        <w:t xml:space="preserve">environmentally sustainable’ as well as ‘transitional’. </w:t>
      </w:r>
      <w:r w:rsidR="00E6649B">
        <w:rPr>
          <w:color w:val="000000" w:themeColor="text1"/>
          <w:sz w:val="22"/>
          <w:szCs w:val="22"/>
        </w:rPr>
        <w:t>Underpinning</w:t>
      </w:r>
      <w:r w:rsidR="00F502BD" w:rsidRPr="005E0CD9">
        <w:rPr>
          <w:color w:val="000000" w:themeColor="text1"/>
          <w:sz w:val="22"/>
          <w:szCs w:val="22"/>
        </w:rPr>
        <w:t xml:space="preserve"> </w:t>
      </w:r>
      <w:r w:rsidR="00417B47" w:rsidRPr="005E0CD9">
        <w:rPr>
          <w:color w:val="000000" w:themeColor="text1"/>
          <w:sz w:val="22"/>
          <w:szCs w:val="22"/>
        </w:rPr>
        <w:t xml:space="preserve">corporate </w:t>
      </w:r>
      <w:r w:rsidR="00F502BD" w:rsidRPr="005E0CD9">
        <w:rPr>
          <w:color w:val="000000" w:themeColor="text1"/>
          <w:sz w:val="22"/>
          <w:szCs w:val="22"/>
        </w:rPr>
        <w:t xml:space="preserve">green financing frameworks </w:t>
      </w:r>
      <w:r w:rsidR="00417B47" w:rsidRPr="005E0CD9">
        <w:rPr>
          <w:color w:val="000000" w:themeColor="text1"/>
          <w:sz w:val="22"/>
          <w:szCs w:val="22"/>
        </w:rPr>
        <w:t>with a UK green taxonomy</w:t>
      </w:r>
      <w:r w:rsidR="00F01859" w:rsidRPr="005E0CD9">
        <w:rPr>
          <w:color w:val="000000" w:themeColor="text1"/>
          <w:sz w:val="22"/>
          <w:szCs w:val="22"/>
        </w:rPr>
        <w:t xml:space="preserve">, and </w:t>
      </w:r>
      <w:r w:rsidR="00D66FBB" w:rsidRPr="005E0CD9">
        <w:rPr>
          <w:color w:val="000000" w:themeColor="text1"/>
          <w:sz w:val="22"/>
          <w:szCs w:val="22"/>
        </w:rPr>
        <w:t>reporting</w:t>
      </w:r>
      <w:r w:rsidR="00BE0D2E" w:rsidRPr="005E0CD9">
        <w:rPr>
          <w:color w:val="000000" w:themeColor="text1"/>
          <w:sz w:val="22"/>
          <w:szCs w:val="22"/>
        </w:rPr>
        <w:t xml:space="preserve"> </w:t>
      </w:r>
      <w:r w:rsidR="002F263C">
        <w:rPr>
          <w:color w:val="000000" w:themeColor="text1"/>
          <w:sz w:val="22"/>
          <w:szCs w:val="22"/>
        </w:rPr>
        <w:t xml:space="preserve">taxonomy </w:t>
      </w:r>
      <w:r w:rsidR="00BE0D2E" w:rsidRPr="005E0CD9">
        <w:rPr>
          <w:color w:val="000000" w:themeColor="text1"/>
          <w:sz w:val="22"/>
          <w:szCs w:val="22"/>
        </w:rPr>
        <w:t>alignment of business activities and investments with the taxonomy,</w:t>
      </w:r>
      <w:r w:rsidR="00963EC6" w:rsidRPr="005E0CD9">
        <w:rPr>
          <w:color w:val="000000" w:themeColor="text1"/>
          <w:sz w:val="22"/>
          <w:szCs w:val="22"/>
        </w:rPr>
        <w:t xml:space="preserve"> could offer investors with measurable KPIs and data to </w:t>
      </w:r>
      <w:r w:rsidR="00216290" w:rsidRPr="005E0CD9">
        <w:rPr>
          <w:color w:val="000000" w:themeColor="text1"/>
          <w:sz w:val="22"/>
          <w:szCs w:val="22"/>
        </w:rPr>
        <w:t>support</w:t>
      </w:r>
      <w:r w:rsidR="00963EC6" w:rsidRPr="005E0CD9">
        <w:rPr>
          <w:color w:val="000000" w:themeColor="text1"/>
          <w:sz w:val="22"/>
          <w:szCs w:val="22"/>
        </w:rPr>
        <w:t xml:space="preserve"> decision</w:t>
      </w:r>
      <w:r w:rsidR="00216290" w:rsidRPr="005E0CD9">
        <w:rPr>
          <w:color w:val="000000" w:themeColor="text1"/>
          <w:sz w:val="22"/>
          <w:szCs w:val="22"/>
        </w:rPr>
        <w:t>-making</w:t>
      </w:r>
      <w:r w:rsidR="00963EC6" w:rsidRPr="005E0CD9">
        <w:rPr>
          <w:color w:val="000000" w:themeColor="text1"/>
          <w:sz w:val="22"/>
          <w:szCs w:val="22"/>
        </w:rPr>
        <w:t xml:space="preserve"> </w:t>
      </w:r>
      <w:r w:rsidR="00216290" w:rsidRPr="005E0CD9">
        <w:rPr>
          <w:color w:val="000000" w:themeColor="text1"/>
          <w:sz w:val="22"/>
          <w:szCs w:val="22"/>
        </w:rPr>
        <w:t xml:space="preserve">and </w:t>
      </w:r>
      <w:r w:rsidR="00963EC6" w:rsidRPr="005E0CD9">
        <w:rPr>
          <w:color w:val="000000" w:themeColor="text1"/>
          <w:sz w:val="22"/>
          <w:szCs w:val="22"/>
        </w:rPr>
        <w:t>shareholder engagement.</w:t>
      </w:r>
    </w:p>
    <w:p w14:paraId="2360EB6C" w14:textId="3911E5A4" w:rsidR="000464B5" w:rsidRPr="006E08A7" w:rsidRDefault="000464B5" w:rsidP="006E08A7">
      <w:pPr>
        <w:pStyle w:val="ListParagraph"/>
        <w:numPr>
          <w:ilvl w:val="0"/>
          <w:numId w:val="30"/>
        </w:numPr>
        <w:rPr>
          <w:b/>
          <w:bCs/>
          <w:color w:val="000000" w:themeColor="text1"/>
          <w:sz w:val="22"/>
          <w:szCs w:val="22"/>
        </w:rPr>
      </w:pPr>
      <w:r w:rsidRPr="006E08A7">
        <w:rPr>
          <w:b/>
          <w:bCs/>
          <w:color w:val="000000" w:themeColor="text1"/>
          <w:sz w:val="22"/>
          <w:szCs w:val="22"/>
        </w:rPr>
        <w:t>Are there any other use cases respondents have identified?</w:t>
      </w:r>
      <w:r w:rsidR="00223106" w:rsidRPr="006E08A7">
        <w:rPr>
          <w:b/>
          <w:bCs/>
          <w:color w:val="000000" w:themeColor="text1"/>
          <w:sz w:val="22"/>
          <w:szCs w:val="22"/>
        </w:rPr>
        <w:t xml:space="preserve"> (Optional)</w:t>
      </w:r>
    </w:p>
    <w:p w14:paraId="16DEA998" w14:textId="0883D225" w:rsidR="00B40CB9" w:rsidRPr="00987278" w:rsidRDefault="00630C1B" w:rsidP="00987278">
      <w:pPr>
        <w:rPr>
          <w:color w:val="000000" w:themeColor="text1"/>
          <w:sz w:val="22"/>
          <w:szCs w:val="22"/>
        </w:rPr>
      </w:pPr>
      <w:r w:rsidRPr="005E0CD9">
        <w:rPr>
          <w:color w:val="000000" w:themeColor="text1"/>
          <w:sz w:val="22"/>
          <w:szCs w:val="22"/>
        </w:rPr>
        <w:t xml:space="preserve">A taxonomy could support the government’s </w:t>
      </w:r>
      <w:r w:rsidR="005C1B93" w:rsidRPr="005E0CD9">
        <w:rPr>
          <w:color w:val="000000" w:themeColor="text1"/>
          <w:sz w:val="22"/>
          <w:szCs w:val="22"/>
        </w:rPr>
        <w:t xml:space="preserve">growth mission, </w:t>
      </w:r>
      <w:r w:rsidR="00BD4CEA" w:rsidRPr="005E0CD9">
        <w:rPr>
          <w:color w:val="000000" w:themeColor="text1"/>
          <w:sz w:val="22"/>
          <w:szCs w:val="22"/>
        </w:rPr>
        <w:t xml:space="preserve">including </w:t>
      </w:r>
      <w:r w:rsidR="005C1B93" w:rsidRPr="005E0CD9">
        <w:rPr>
          <w:color w:val="000000" w:themeColor="text1"/>
          <w:sz w:val="22"/>
          <w:szCs w:val="22"/>
        </w:rPr>
        <w:t>its Modern Industrial Strategy. The Strategy</w:t>
      </w:r>
      <w:r w:rsidR="00972820" w:rsidRPr="005E0CD9">
        <w:rPr>
          <w:color w:val="000000" w:themeColor="text1"/>
          <w:sz w:val="22"/>
          <w:szCs w:val="22"/>
        </w:rPr>
        <w:t xml:space="preserve">’s </w:t>
      </w:r>
      <w:r w:rsidR="00100E5C" w:rsidRPr="005E0CD9">
        <w:rPr>
          <w:color w:val="000000" w:themeColor="text1"/>
          <w:sz w:val="22"/>
          <w:szCs w:val="22"/>
        </w:rPr>
        <w:t>primary objective</w:t>
      </w:r>
      <w:r w:rsidR="005B774F" w:rsidRPr="005E0CD9">
        <w:rPr>
          <w:color w:val="000000" w:themeColor="text1"/>
          <w:sz w:val="22"/>
          <w:szCs w:val="22"/>
        </w:rPr>
        <w:t xml:space="preserve"> is </w:t>
      </w:r>
      <w:r w:rsidR="00B46142" w:rsidRPr="005E0CD9">
        <w:rPr>
          <w:color w:val="000000" w:themeColor="text1"/>
          <w:sz w:val="22"/>
          <w:szCs w:val="22"/>
        </w:rPr>
        <w:t>to “capture a greater share of internationally mobile investment and strategic sectors and spur domestic businesses</w:t>
      </w:r>
      <w:r w:rsidR="00B963D8" w:rsidRPr="005E0CD9">
        <w:rPr>
          <w:color w:val="000000" w:themeColor="text1"/>
          <w:sz w:val="22"/>
          <w:szCs w:val="22"/>
        </w:rPr>
        <w:t>”</w:t>
      </w:r>
      <w:r w:rsidR="007542BB" w:rsidRPr="005E0CD9">
        <w:rPr>
          <w:color w:val="000000" w:themeColor="text1"/>
          <w:sz w:val="22"/>
          <w:szCs w:val="22"/>
        </w:rPr>
        <w:t>, whi</w:t>
      </w:r>
      <w:r w:rsidR="008163CF" w:rsidRPr="005E0CD9">
        <w:rPr>
          <w:color w:val="000000" w:themeColor="text1"/>
          <w:sz w:val="22"/>
          <w:szCs w:val="22"/>
        </w:rPr>
        <w:t>le also supporting the net zero transition</w:t>
      </w:r>
      <w:r w:rsidR="00A345CF">
        <w:rPr>
          <w:color w:val="000000" w:themeColor="text1"/>
          <w:sz w:val="22"/>
          <w:szCs w:val="22"/>
        </w:rPr>
        <w:t>.</w:t>
      </w:r>
      <w:r w:rsidR="00A345CF">
        <w:rPr>
          <w:rStyle w:val="FootnoteReference"/>
          <w:color w:val="000000" w:themeColor="text1"/>
          <w:sz w:val="22"/>
          <w:szCs w:val="22"/>
        </w:rPr>
        <w:footnoteReference w:id="6"/>
      </w:r>
      <w:r w:rsidR="00A6493B" w:rsidRPr="005E0CD9">
        <w:rPr>
          <w:color w:val="000000" w:themeColor="text1"/>
          <w:sz w:val="22"/>
          <w:szCs w:val="22"/>
        </w:rPr>
        <w:t xml:space="preserve"> </w:t>
      </w:r>
      <w:r w:rsidR="00AC0070" w:rsidRPr="005E0CD9">
        <w:rPr>
          <w:color w:val="000000" w:themeColor="text1"/>
          <w:sz w:val="22"/>
          <w:szCs w:val="22"/>
        </w:rPr>
        <w:t xml:space="preserve">Here, a UK green taxonomy could be a useful </w:t>
      </w:r>
      <w:r w:rsidR="009724C8" w:rsidRPr="005E0CD9">
        <w:rPr>
          <w:color w:val="000000" w:themeColor="text1"/>
          <w:sz w:val="22"/>
          <w:szCs w:val="22"/>
        </w:rPr>
        <w:t xml:space="preserve">tool for monitor and evaluating the success of </w:t>
      </w:r>
      <w:r w:rsidR="00856210" w:rsidRPr="005E0CD9">
        <w:rPr>
          <w:color w:val="000000" w:themeColor="text1"/>
          <w:sz w:val="22"/>
          <w:szCs w:val="22"/>
        </w:rPr>
        <w:t>Industrial Strategy</w:t>
      </w:r>
      <w:r w:rsidR="007C2773" w:rsidRPr="005E0CD9">
        <w:rPr>
          <w:color w:val="000000" w:themeColor="text1"/>
          <w:sz w:val="22"/>
          <w:szCs w:val="22"/>
        </w:rPr>
        <w:t xml:space="preserve">. </w:t>
      </w:r>
      <w:r w:rsidR="00BD4CEA" w:rsidRPr="005E0CD9">
        <w:rPr>
          <w:color w:val="000000" w:themeColor="text1"/>
          <w:sz w:val="22"/>
          <w:szCs w:val="22"/>
        </w:rPr>
        <w:t>For example</w:t>
      </w:r>
      <w:r w:rsidR="007C2773" w:rsidRPr="005E0CD9">
        <w:rPr>
          <w:color w:val="000000" w:themeColor="text1"/>
          <w:sz w:val="22"/>
          <w:szCs w:val="22"/>
        </w:rPr>
        <w:t xml:space="preserve">, </w:t>
      </w:r>
      <w:r w:rsidR="00BD4CEA" w:rsidRPr="005E0CD9">
        <w:rPr>
          <w:color w:val="000000" w:themeColor="text1"/>
          <w:sz w:val="22"/>
          <w:szCs w:val="22"/>
        </w:rPr>
        <w:t>it</w:t>
      </w:r>
      <w:r w:rsidR="007C2773" w:rsidRPr="005E0CD9">
        <w:rPr>
          <w:color w:val="000000" w:themeColor="text1"/>
          <w:sz w:val="22"/>
          <w:szCs w:val="22"/>
        </w:rPr>
        <w:t xml:space="preserve"> could be used to track the flow of green finance into the growth sectors identified in the Industrial Strategy, highlighting </w:t>
      </w:r>
      <w:r w:rsidR="003A558C" w:rsidRPr="005E0CD9">
        <w:rPr>
          <w:color w:val="000000" w:themeColor="text1"/>
          <w:sz w:val="22"/>
          <w:szCs w:val="22"/>
        </w:rPr>
        <w:t xml:space="preserve">where there is underinvestment and greater public policy interventions </w:t>
      </w:r>
      <w:r w:rsidR="00C06F0E" w:rsidRPr="005E0CD9">
        <w:rPr>
          <w:color w:val="000000" w:themeColor="text1"/>
          <w:sz w:val="22"/>
          <w:szCs w:val="22"/>
        </w:rPr>
        <w:t xml:space="preserve">are </w:t>
      </w:r>
      <w:r w:rsidR="003A558C" w:rsidRPr="005E0CD9">
        <w:rPr>
          <w:color w:val="000000" w:themeColor="text1"/>
          <w:sz w:val="22"/>
          <w:szCs w:val="22"/>
        </w:rPr>
        <w:t xml:space="preserve">required.  </w:t>
      </w:r>
    </w:p>
    <w:p w14:paraId="7226CBCA" w14:textId="20FCC060" w:rsidR="000464B5" w:rsidRPr="006E08A7" w:rsidRDefault="000464B5" w:rsidP="006E08A7">
      <w:pPr>
        <w:pStyle w:val="ListParagraph"/>
        <w:numPr>
          <w:ilvl w:val="0"/>
          <w:numId w:val="29"/>
        </w:numPr>
        <w:rPr>
          <w:b/>
          <w:bCs/>
          <w:color w:val="000000" w:themeColor="text1"/>
          <w:sz w:val="22"/>
          <w:szCs w:val="22"/>
        </w:rPr>
      </w:pPr>
      <w:r w:rsidRPr="006E08A7">
        <w:rPr>
          <w:b/>
          <w:bCs/>
          <w:color w:val="000000" w:themeColor="text1"/>
          <w:sz w:val="22"/>
          <w:szCs w:val="22"/>
        </w:rPr>
        <w:t>Under these or other use cases, which types of organisations could benefit from a UK Taxonomy?</w:t>
      </w:r>
      <w:r w:rsidR="00223106" w:rsidRPr="006E08A7">
        <w:rPr>
          <w:b/>
          <w:bCs/>
          <w:color w:val="000000" w:themeColor="text1"/>
          <w:sz w:val="22"/>
          <w:szCs w:val="22"/>
        </w:rPr>
        <w:t xml:space="preserve"> (Optional)</w:t>
      </w:r>
    </w:p>
    <w:p w14:paraId="1173CCB4" w14:textId="24DD9957" w:rsidR="00A505B1" w:rsidRPr="005E0CD9" w:rsidRDefault="00A505B1" w:rsidP="00A505B1">
      <w:pPr>
        <w:rPr>
          <w:color w:val="000000" w:themeColor="text1"/>
          <w:sz w:val="22"/>
          <w:szCs w:val="22"/>
        </w:rPr>
      </w:pPr>
      <w:r w:rsidRPr="005E0CD9">
        <w:rPr>
          <w:color w:val="000000" w:themeColor="text1"/>
          <w:sz w:val="22"/>
          <w:szCs w:val="22"/>
        </w:rPr>
        <w:t xml:space="preserve">The following types of </w:t>
      </w:r>
      <w:r w:rsidR="0076228A" w:rsidRPr="005E0CD9">
        <w:rPr>
          <w:color w:val="000000" w:themeColor="text1"/>
          <w:sz w:val="22"/>
          <w:szCs w:val="22"/>
        </w:rPr>
        <w:t>organisations</w:t>
      </w:r>
      <w:r w:rsidRPr="005E0CD9">
        <w:rPr>
          <w:color w:val="000000" w:themeColor="text1"/>
          <w:sz w:val="22"/>
          <w:szCs w:val="22"/>
        </w:rPr>
        <w:t xml:space="preserve"> would benefit from the implementation of a UK Green Taxonomy: </w:t>
      </w:r>
    </w:p>
    <w:p w14:paraId="1EDBC084" w14:textId="767542F3" w:rsidR="00A505B1" w:rsidRPr="005E0CD9" w:rsidRDefault="00607CED" w:rsidP="006702A7">
      <w:pPr>
        <w:pStyle w:val="ListParagraph"/>
        <w:numPr>
          <w:ilvl w:val="0"/>
          <w:numId w:val="23"/>
        </w:numPr>
        <w:rPr>
          <w:color w:val="000000" w:themeColor="text1"/>
          <w:sz w:val="22"/>
          <w:szCs w:val="22"/>
        </w:rPr>
      </w:pPr>
      <w:r w:rsidRPr="005E0CD9">
        <w:rPr>
          <w:color w:val="000000" w:themeColor="text1"/>
          <w:sz w:val="22"/>
          <w:szCs w:val="22"/>
        </w:rPr>
        <w:t xml:space="preserve">National and local government – A UK green taxonomy could strengthen the </w:t>
      </w:r>
      <w:r w:rsidR="00DF40B9" w:rsidRPr="005E0CD9">
        <w:rPr>
          <w:color w:val="000000" w:themeColor="text1"/>
          <w:sz w:val="22"/>
          <w:szCs w:val="22"/>
        </w:rPr>
        <w:t xml:space="preserve">green credentials of public sector borrowing (such as the UK’s green gilt) and local authority borrowing (such as </w:t>
      </w:r>
      <w:r w:rsidR="00993D26" w:rsidRPr="005E0CD9">
        <w:rPr>
          <w:color w:val="000000" w:themeColor="text1"/>
          <w:sz w:val="22"/>
          <w:szCs w:val="22"/>
        </w:rPr>
        <w:t>municipal bonds)</w:t>
      </w:r>
      <w:r w:rsidR="00566DAC" w:rsidRPr="005E0CD9">
        <w:rPr>
          <w:color w:val="000000" w:themeColor="text1"/>
          <w:sz w:val="22"/>
          <w:szCs w:val="22"/>
        </w:rPr>
        <w:t>, increasing investor confidence</w:t>
      </w:r>
      <w:r w:rsidR="00AA7A8F" w:rsidRPr="005E0CD9">
        <w:rPr>
          <w:color w:val="000000" w:themeColor="text1"/>
          <w:sz w:val="22"/>
          <w:szCs w:val="22"/>
        </w:rPr>
        <w:t xml:space="preserve">. </w:t>
      </w:r>
    </w:p>
    <w:p w14:paraId="048C722A" w14:textId="2D7B839F" w:rsidR="004A05CB" w:rsidRPr="005E0CD9" w:rsidRDefault="004F1633" w:rsidP="006702A7">
      <w:pPr>
        <w:pStyle w:val="ListParagraph"/>
        <w:numPr>
          <w:ilvl w:val="0"/>
          <w:numId w:val="23"/>
        </w:numPr>
        <w:rPr>
          <w:color w:val="000000" w:themeColor="text1"/>
          <w:sz w:val="22"/>
          <w:szCs w:val="22"/>
        </w:rPr>
      </w:pPr>
      <w:r w:rsidRPr="005E0CD9">
        <w:rPr>
          <w:color w:val="000000" w:themeColor="text1"/>
          <w:sz w:val="22"/>
          <w:szCs w:val="22"/>
        </w:rPr>
        <w:t xml:space="preserve">Public </w:t>
      </w:r>
      <w:r w:rsidR="00F5103F" w:rsidRPr="005E0CD9">
        <w:rPr>
          <w:color w:val="000000" w:themeColor="text1"/>
          <w:sz w:val="22"/>
          <w:szCs w:val="22"/>
        </w:rPr>
        <w:t>F</w:t>
      </w:r>
      <w:r w:rsidRPr="005E0CD9">
        <w:rPr>
          <w:color w:val="000000" w:themeColor="text1"/>
          <w:sz w:val="22"/>
          <w:szCs w:val="22"/>
        </w:rPr>
        <w:t xml:space="preserve">inancial </w:t>
      </w:r>
      <w:r w:rsidR="00F5103F" w:rsidRPr="005E0CD9">
        <w:rPr>
          <w:color w:val="000000" w:themeColor="text1"/>
          <w:sz w:val="22"/>
          <w:szCs w:val="22"/>
        </w:rPr>
        <w:t>I</w:t>
      </w:r>
      <w:r w:rsidRPr="005E0CD9">
        <w:rPr>
          <w:color w:val="000000" w:themeColor="text1"/>
          <w:sz w:val="22"/>
          <w:szCs w:val="22"/>
        </w:rPr>
        <w:t>nstitutions</w:t>
      </w:r>
      <w:r w:rsidR="00F5103F" w:rsidRPr="005E0CD9">
        <w:rPr>
          <w:color w:val="000000" w:themeColor="text1"/>
          <w:sz w:val="22"/>
          <w:szCs w:val="22"/>
        </w:rPr>
        <w:t xml:space="preserve"> (PFIs)</w:t>
      </w:r>
      <w:r w:rsidRPr="005E0CD9">
        <w:rPr>
          <w:color w:val="000000" w:themeColor="text1"/>
          <w:sz w:val="22"/>
          <w:szCs w:val="22"/>
        </w:rPr>
        <w:t xml:space="preserve"> –</w:t>
      </w:r>
      <w:r w:rsidR="00F5103F" w:rsidRPr="005E0CD9">
        <w:rPr>
          <w:color w:val="000000" w:themeColor="text1"/>
          <w:sz w:val="22"/>
          <w:szCs w:val="22"/>
        </w:rPr>
        <w:t xml:space="preserve"> PFIs, such as the National Wealth Fund and British Business Bank, could monitor portfolio alignment against the UK green taxonomy to ensure public investments a</w:t>
      </w:r>
      <w:r w:rsidR="00274744" w:rsidRPr="005E0CD9">
        <w:rPr>
          <w:color w:val="000000" w:themeColor="text1"/>
          <w:sz w:val="22"/>
          <w:szCs w:val="22"/>
        </w:rPr>
        <w:t xml:space="preserve">re supporting environmentally sustainable activities, and the UK’s wider climate and environmental goals. </w:t>
      </w:r>
    </w:p>
    <w:p w14:paraId="610885E9" w14:textId="56AE1971" w:rsidR="00B40CB9" w:rsidRPr="005E0CD9" w:rsidRDefault="00274744" w:rsidP="006702A7">
      <w:pPr>
        <w:pStyle w:val="ListParagraph"/>
        <w:numPr>
          <w:ilvl w:val="0"/>
          <w:numId w:val="23"/>
        </w:numPr>
        <w:rPr>
          <w:color w:val="000000" w:themeColor="text1"/>
          <w:sz w:val="22"/>
          <w:szCs w:val="22"/>
        </w:rPr>
      </w:pPr>
      <w:r w:rsidRPr="005E0CD9">
        <w:rPr>
          <w:color w:val="000000" w:themeColor="text1"/>
          <w:sz w:val="22"/>
          <w:szCs w:val="22"/>
        </w:rPr>
        <w:t xml:space="preserve">Investors </w:t>
      </w:r>
      <w:r w:rsidR="009356D0" w:rsidRPr="005E0CD9">
        <w:rPr>
          <w:color w:val="000000" w:themeColor="text1"/>
          <w:sz w:val="22"/>
          <w:szCs w:val="22"/>
        </w:rPr>
        <w:t>–</w:t>
      </w:r>
      <w:r w:rsidRPr="005E0CD9">
        <w:rPr>
          <w:color w:val="000000" w:themeColor="text1"/>
          <w:sz w:val="22"/>
          <w:szCs w:val="22"/>
        </w:rPr>
        <w:t xml:space="preserve"> </w:t>
      </w:r>
      <w:r w:rsidR="009356D0" w:rsidRPr="005E0CD9">
        <w:rPr>
          <w:color w:val="000000" w:themeColor="text1"/>
          <w:sz w:val="22"/>
          <w:szCs w:val="22"/>
        </w:rPr>
        <w:t xml:space="preserve">Corporate disclosure of </w:t>
      </w:r>
      <w:r w:rsidR="008F75E3">
        <w:rPr>
          <w:color w:val="000000" w:themeColor="text1"/>
          <w:sz w:val="22"/>
          <w:szCs w:val="22"/>
        </w:rPr>
        <w:t xml:space="preserve">taxonomy </w:t>
      </w:r>
      <w:r w:rsidR="009356D0" w:rsidRPr="005E0CD9">
        <w:rPr>
          <w:color w:val="000000" w:themeColor="text1"/>
          <w:sz w:val="22"/>
          <w:szCs w:val="22"/>
        </w:rPr>
        <w:t xml:space="preserve">alignment of </w:t>
      </w:r>
      <w:r w:rsidR="00381A34" w:rsidRPr="005E0CD9">
        <w:rPr>
          <w:color w:val="000000" w:themeColor="text1"/>
          <w:sz w:val="22"/>
          <w:szCs w:val="22"/>
        </w:rPr>
        <w:t xml:space="preserve">turnover, capital expenditure, and </w:t>
      </w:r>
      <w:r w:rsidR="000E7B95" w:rsidRPr="005E0CD9">
        <w:rPr>
          <w:color w:val="000000" w:themeColor="text1"/>
          <w:sz w:val="22"/>
          <w:szCs w:val="22"/>
        </w:rPr>
        <w:t>operat</w:t>
      </w:r>
      <w:r w:rsidR="000E7B95">
        <w:rPr>
          <w:color w:val="000000" w:themeColor="text1"/>
          <w:sz w:val="22"/>
          <w:szCs w:val="22"/>
        </w:rPr>
        <w:t>ional</w:t>
      </w:r>
      <w:r w:rsidR="00381A34" w:rsidRPr="005E0CD9">
        <w:rPr>
          <w:color w:val="000000" w:themeColor="text1"/>
          <w:sz w:val="22"/>
          <w:szCs w:val="22"/>
        </w:rPr>
        <w:t xml:space="preserve"> expenditure could provide investors with consistent and comparable information over time, supporting stewardship and investment decisions. </w:t>
      </w:r>
    </w:p>
    <w:p w14:paraId="0FE4341E" w14:textId="6DDF1465" w:rsidR="00CA2BFB" w:rsidRPr="005E0CD9" w:rsidRDefault="00381A34" w:rsidP="006702A7">
      <w:pPr>
        <w:pStyle w:val="ListParagraph"/>
        <w:numPr>
          <w:ilvl w:val="0"/>
          <w:numId w:val="23"/>
        </w:numPr>
        <w:rPr>
          <w:color w:val="000000" w:themeColor="text1"/>
          <w:sz w:val="22"/>
          <w:szCs w:val="22"/>
        </w:rPr>
      </w:pPr>
      <w:r w:rsidRPr="005E0CD9">
        <w:rPr>
          <w:color w:val="000000" w:themeColor="text1"/>
          <w:sz w:val="22"/>
          <w:szCs w:val="22"/>
        </w:rPr>
        <w:t xml:space="preserve">Corporates – </w:t>
      </w:r>
      <w:r w:rsidR="006F0771" w:rsidRPr="005E0CD9">
        <w:rPr>
          <w:color w:val="000000" w:themeColor="text1"/>
          <w:sz w:val="22"/>
          <w:szCs w:val="22"/>
        </w:rPr>
        <w:t>Using a UK green taxonomy to underpin green finance frameworks</w:t>
      </w:r>
      <w:r w:rsidR="00003D85" w:rsidRPr="005E0CD9">
        <w:rPr>
          <w:color w:val="000000" w:themeColor="text1"/>
          <w:sz w:val="22"/>
          <w:szCs w:val="22"/>
        </w:rPr>
        <w:t xml:space="preserve"> and inform </w:t>
      </w:r>
      <w:r w:rsidR="006F0771" w:rsidRPr="005E0CD9">
        <w:rPr>
          <w:color w:val="000000" w:themeColor="text1"/>
          <w:sz w:val="22"/>
          <w:szCs w:val="22"/>
        </w:rPr>
        <w:t>climate transition plans</w:t>
      </w:r>
      <w:r w:rsidR="00003D85" w:rsidRPr="005E0CD9">
        <w:rPr>
          <w:color w:val="000000" w:themeColor="text1"/>
          <w:sz w:val="22"/>
          <w:szCs w:val="22"/>
        </w:rPr>
        <w:t xml:space="preserve"> could support corporates to attract investment and demonstrate where companies are actively transitioning (for example, if companies have higher green capital expenditure compared to current green revenue). </w:t>
      </w:r>
    </w:p>
    <w:p w14:paraId="6E5E0A1D" w14:textId="226C7429" w:rsidR="006702A7" w:rsidRPr="006E08A7" w:rsidRDefault="00394C93" w:rsidP="006E08A7">
      <w:pPr>
        <w:pStyle w:val="ListParagraph"/>
        <w:numPr>
          <w:ilvl w:val="0"/>
          <w:numId w:val="23"/>
        </w:numPr>
        <w:rPr>
          <w:color w:val="000000" w:themeColor="text1"/>
          <w:sz w:val="22"/>
          <w:szCs w:val="22"/>
        </w:rPr>
      </w:pPr>
      <w:r w:rsidRPr="005E0CD9">
        <w:rPr>
          <w:color w:val="000000" w:themeColor="text1"/>
          <w:sz w:val="22"/>
          <w:szCs w:val="22"/>
        </w:rPr>
        <w:t xml:space="preserve">Third sector organisations – </w:t>
      </w:r>
      <w:r w:rsidR="006702A7" w:rsidRPr="005E0CD9">
        <w:rPr>
          <w:color w:val="000000" w:themeColor="text1"/>
          <w:sz w:val="22"/>
          <w:szCs w:val="22"/>
        </w:rPr>
        <w:t xml:space="preserve">A UK green taxonomy would enable third sector organisations to monitor financial flows and scrutinise sustainability claims.  </w:t>
      </w:r>
    </w:p>
    <w:p w14:paraId="7CC159D3" w14:textId="77777777" w:rsidR="004619DC" w:rsidRDefault="004619DC" w:rsidP="004619DC">
      <w:pPr>
        <w:pStyle w:val="ListParagraph"/>
        <w:rPr>
          <w:b/>
          <w:bCs/>
          <w:color w:val="000000" w:themeColor="text1"/>
          <w:sz w:val="22"/>
          <w:szCs w:val="22"/>
        </w:rPr>
      </w:pPr>
    </w:p>
    <w:p w14:paraId="6CA5E0C6" w14:textId="77777777" w:rsidR="005D7278" w:rsidRDefault="005D7278" w:rsidP="004619DC">
      <w:pPr>
        <w:pStyle w:val="ListParagraph"/>
        <w:rPr>
          <w:b/>
          <w:bCs/>
          <w:color w:val="000000" w:themeColor="text1"/>
          <w:sz w:val="22"/>
          <w:szCs w:val="22"/>
        </w:rPr>
      </w:pPr>
    </w:p>
    <w:p w14:paraId="31E2BB1B" w14:textId="77777777" w:rsidR="005D7278" w:rsidRPr="005E0CD9" w:rsidRDefault="005D7278" w:rsidP="004619DC">
      <w:pPr>
        <w:pStyle w:val="ListParagraph"/>
        <w:rPr>
          <w:b/>
          <w:bCs/>
          <w:color w:val="000000" w:themeColor="text1"/>
          <w:sz w:val="22"/>
          <w:szCs w:val="22"/>
        </w:rPr>
      </w:pPr>
    </w:p>
    <w:p w14:paraId="1C18FCA8" w14:textId="6C260848" w:rsidR="00CA6E3A" w:rsidRPr="006E08A7" w:rsidRDefault="00CA6E3A" w:rsidP="006E08A7">
      <w:pPr>
        <w:pStyle w:val="ListParagraph"/>
        <w:numPr>
          <w:ilvl w:val="0"/>
          <w:numId w:val="28"/>
        </w:numPr>
        <w:rPr>
          <w:b/>
          <w:bCs/>
          <w:color w:val="000000" w:themeColor="text1"/>
          <w:sz w:val="22"/>
          <w:szCs w:val="22"/>
        </w:rPr>
      </w:pPr>
      <w:r w:rsidRPr="006E08A7">
        <w:rPr>
          <w:b/>
          <w:bCs/>
          <w:color w:val="000000" w:themeColor="text1"/>
          <w:sz w:val="22"/>
          <w:szCs w:val="22"/>
        </w:rPr>
        <w:lastRenderedPageBreak/>
        <w:t xml:space="preserve">Is a UK Taxonomy a useful tool in supporting the allocation of transition finance alongside transition planning? If so, explain how, with reference to any specific design features which can facilitate this. </w:t>
      </w:r>
      <w:r w:rsidR="004619DC" w:rsidRPr="006E08A7">
        <w:rPr>
          <w:b/>
          <w:bCs/>
          <w:color w:val="000000" w:themeColor="text1"/>
          <w:sz w:val="22"/>
          <w:szCs w:val="22"/>
        </w:rPr>
        <w:t>(Optional)</w:t>
      </w:r>
    </w:p>
    <w:p w14:paraId="4342CE16" w14:textId="39DF2DB8" w:rsidR="003302A0" w:rsidRPr="005E0CD9" w:rsidRDefault="003302A0" w:rsidP="003A58B1">
      <w:pPr>
        <w:rPr>
          <w:b/>
          <w:bCs/>
          <w:color w:val="000000" w:themeColor="text1"/>
          <w:sz w:val="22"/>
          <w:szCs w:val="22"/>
        </w:rPr>
      </w:pPr>
      <w:r w:rsidRPr="005E0CD9">
        <w:rPr>
          <w:color w:val="000000" w:themeColor="text1"/>
          <w:sz w:val="22"/>
          <w:szCs w:val="22"/>
        </w:rPr>
        <w:t>Green taxonomies have an important role to play in the provision of transition finance. By developing clear definitions, thresholds and criteria for transition</w:t>
      </w:r>
      <w:r w:rsidR="00BD10B3">
        <w:rPr>
          <w:color w:val="000000" w:themeColor="text1"/>
          <w:sz w:val="22"/>
          <w:szCs w:val="22"/>
        </w:rPr>
        <w:t>al</w:t>
      </w:r>
      <w:r w:rsidRPr="005E0CD9">
        <w:rPr>
          <w:color w:val="000000" w:themeColor="text1"/>
          <w:sz w:val="22"/>
          <w:szCs w:val="22"/>
        </w:rPr>
        <w:t xml:space="preserve"> activities, taxonomies help financial institutions identify and direct capital towards transition areas of the economy with confidence. </w:t>
      </w:r>
    </w:p>
    <w:p w14:paraId="69A3DE5F" w14:textId="65DE0AB7" w:rsidR="00073FD2" w:rsidRPr="005E0CD9" w:rsidRDefault="003302A0" w:rsidP="00F52F2E">
      <w:pPr>
        <w:rPr>
          <w:color w:val="000000" w:themeColor="text1"/>
          <w:sz w:val="22"/>
          <w:szCs w:val="22"/>
        </w:rPr>
      </w:pPr>
      <w:r w:rsidRPr="005E0CD9">
        <w:rPr>
          <w:color w:val="000000" w:themeColor="text1"/>
          <w:sz w:val="22"/>
          <w:szCs w:val="22"/>
        </w:rPr>
        <w:t>The EU Green Taxonomy captures ‘transition’ both through the ‘transitional activities’ category and</w:t>
      </w:r>
      <w:r w:rsidR="00D5313B" w:rsidRPr="005E0CD9">
        <w:rPr>
          <w:color w:val="000000" w:themeColor="text1"/>
          <w:sz w:val="22"/>
          <w:szCs w:val="22"/>
        </w:rPr>
        <w:t xml:space="preserve"> through</w:t>
      </w:r>
      <w:r w:rsidRPr="005E0CD9">
        <w:rPr>
          <w:color w:val="000000" w:themeColor="text1"/>
          <w:sz w:val="22"/>
          <w:szCs w:val="22"/>
        </w:rPr>
        <w:t xml:space="preserve"> the dynamic review process where Technical Screening Criteria (TSC) thresholds are ratcheted up over time in line with the transition of the wider economy. Transitional activities must contribute to climate mitigation and a Paris Agreement</w:t>
      </w:r>
      <w:r w:rsidR="003F523D" w:rsidRPr="005E0CD9">
        <w:rPr>
          <w:color w:val="000000" w:themeColor="text1"/>
          <w:sz w:val="22"/>
          <w:szCs w:val="22"/>
        </w:rPr>
        <w:t>-</w:t>
      </w:r>
      <w:r w:rsidRPr="005E0CD9">
        <w:rPr>
          <w:color w:val="000000" w:themeColor="text1"/>
          <w:sz w:val="22"/>
          <w:szCs w:val="22"/>
        </w:rPr>
        <w:t xml:space="preserve">aligned pathway. To qualify, </w:t>
      </w:r>
      <w:r w:rsidR="003F523D" w:rsidRPr="005E0CD9">
        <w:rPr>
          <w:color w:val="000000" w:themeColor="text1"/>
          <w:sz w:val="22"/>
          <w:szCs w:val="22"/>
        </w:rPr>
        <w:t xml:space="preserve">these </w:t>
      </w:r>
      <w:r w:rsidRPr="005E0CD9">
        <w:rPr>
          <w:color w:val="000000" w:themeColor="text1"/>
          <w:sz w:val="22"/>
          <w:szCs w:val="22"/>
        </w:rPr>
        <w:t xml:space="preserve">activities must meet three criteria: (1) there are no technologically or economically feasible low-carbon alternatives; (2) greenhouse gas emission levels correspond to the best performance in the sector or industry; and (3) the activity does not lead to carbon lock-in or hamper the development/deployment of low-carbon </w:t>
      </w:r>
      <w:r w:rsidR="00073FD2" w:rsidRPr="005E0CD9">
        <w:rPr>
          <w:color w:val="000000" w:themeColor="text1"/>
          <w:sz w:val="22"/>
          <w:szCs w:val="22"/>
        </w:rPr>
        <w:t>alternatives.</w:t>
      </w:r>
    </w:p>
    <w:p w14:paraId="32EE23F0" w14:textId="34B14999" w:rsidR="00201D35" w:rsidRPr="005E0CD9" w:rsidRDefault="00201D35" w:rsidP="00F52F2E">
      <w:pPr>
        <w:rPr>
          <w:color w:val="000000" w:themeColor="text1"/>
          <w:sz w:val="22"/>
          <w:szCs w:val="22"/>
        </w:rPr>
      </w:pPr>
      <w:r w:rsidRPr="005E0CD9">
        <w:rPr>
          <w:color w:val="000000" w:themeColor="text1"/>
          <w:sz w:val="22"/>
          <w:szCs w:val="22"/>
        </w:rPr>
        <w:t>The inclusion of transitional activities</w:t>
      </w:r>
      <w:r w:rsidR="00F71281">
        <w:rPr>
          <w:color w:val="000000" w:themeColor="text1"/>
          <w:sz w:val="22"/>
          <w:szCs w:val="22"/>
        </w:rPr>
        <w:t xml:space="preserve"> in a UK green taxonomy</w:t>
      </w:r>
      <w:r w:rsidRPr="005E0CD9">
        <w:rPr>
          <w:color w:val="000000" w:themeColor="text1"/>
          <w:sz w:val="22"/>
          <w:szCs w:val="22"/>
        </w:rPr>
        <w:t xml:space="preserve"> should be reviewed every 3-5 years to </w:t>
      </w:r>
      <w:r w:rsidR="00366022">
        <w:rPr>
          <w:color w:val="000000" w:themeColor="text1"/>
          <w:sz w:val="22"/>
          <w:szCs w:val="22"/>
        </w:rPr>
        <w:t>ensure</w:t>
      </w:r>
      <w:r w:rsidRPr="005E0CD9">
        <w:rPr>
          <w:color w:val="000000" w:themeColor="text1"/>
          <w:sz w:val="22"/>
          <w:szCs w:val="22"/>
        </w:rPr>
        <w:t xml:space="preserve"> higher-emitting activities </w:t>
      </w:r>
      <w:r w:rsidR="00366022">
        <w:rPr>
          <w:color w:val="000000" w:themeColor="text1"/>
          <w:sz w:val="22"/>
          <w:szCs w:val="22"/>
        </w:rPr>
        <w:t xml:space="preserve">are removed </w:t>
      </w:r>
      <w:r w:rsidRPr="005E0CD9">
        <w:rPr>
          <w:color w:val="000000" w:themeColor="text1"/>
          <w:sz w:val="22"/>
          <w:szCs w:val="22"/>
        </w:rPr>
        <w:t xml:space="preserve">when technologically or economically feasible low-carbon alternatives have been developed. </w:t>
      </w:r>
    </w:p>
    <w:p w14:paraId="25EBAD3D" w14:textId="7A69F68E" w:rsidR="00A42307" w:rsidRPr="005E0CD9" w:rsidRDefault="003302A0" w:rsidP="00F52F2E">
      <w:pPr>
        <w:rPr>
          <w:b/>
          <w:bCs/>
          <w:color w:val="000000" w:themeColor="text1"/>
          <w:sz w:val="22"/>
          <w:szCs w:val="22"/>
        </w:rPr>
      </w:pPr>
      <w:r w:rsidRPr="005E0CD9">
        <w:rPr>
          <w:color w:val="000000" w:themeColor="text1"/>
          <w:sz w:val="22"/>
          <w:szCs w:val="22"/>
        </w:rPr>
        <w:t xml:space="preserve">In agreement </w:t>
      </w:r>
      <w:r w:rsidR="005D6053" w:rsidRPr="005E0CD9">
        <w:rPr>
          <w:color w:val="000000" w:themeColor="text1"/>
          <w:sz w:val="22"/>
          <w:szCs w:val="22"/>
        </w:rPr>
        <w:t>with the</w:t>
      </w:r>
      <w:r w:rsidRPr="005E0CD9">
        <w:rPr>
          <w:color w:val="000000" w:themeColor="text1"/>
          <w:sz w:val="22"/>
          <w:szCs w:val="22"/>
        </w:rPr>
        <w:t xml:space="preserve"> G</w:t>
      </w:r>
      <w:r w:rsidR="005D6053" w:rsidRPr="005E0CD9">
        <w:rPr>
          <w:color w:val="000000" w:themeColor="text1"/>
          <w:sz w:val="22"/>
          <w:szCs w:val="22"/>
        </w:rPr>
        <w:t xml:space="preserve">reen </w:t>
      </w:r>
      <w:r w:rsidRPr="005E0CD9">
        <w:rPr>
          <w:color w:val="000000" w:themeColor="text1"/>
          <w:sz w:val="22"/>
          <w:szCs w:val="22"/>
        </w:rPr>
        <w:t>T</w:t>
      </w:r>
      <w:r w:rsidR="005D6053" w:rsidRPr="005E0CD9">
        <w:rPr>
          <w:color w:val="000000" w:themeColor="text1"/>
          <w:sz w:val="22"/>
          <w:szCs w:val="22"/>
        </w:rPr>
        <w:t xml:space="preserve">echnical </w:t>
      </w:r>
      <w:r w:rsidRPr="005E0CD9">
        <w:rPr>
          <w:color w:val="000000" w:themeColor="text1"/>
          <w:sz w:val="22"/>
          <w:szCs w:val="22"/>
        </w:rPr>
        <w:t>A</w:t>
      </w:r>
      <w:r w:rsidR="005D6053" w:rsidRPr="005E0CD9">
        <w:rPr>
          <w:color w:val="000000" w:themeColor="text1"/>
          <w:sz w:val="22"/>
          <w:szCs w:val="22"/>
        </w:rPr>
        <w:t xml:space="preserve">dvisory </w:t>
      </w:r>
      <w:r w:rsidRPr="005E0CD9">
        <w:rPr>
          <w:color w:val="000000" w:themeColor="text1"/>
          <w:sz w:val="22"/>
          <w:szCs w:val="22"/>
        </w:rPr>
        <w:t>G</w:t>
      </w:r>
      <w:r w:rsidR="005D6053" w:rsidRPr="005E0CD9">
        <w:rPr>
          <w:color w:val="000000" w:themeColor="text1"/>
          <w:sz w:val="22"/>
          <w:szCs w:val="22"/>
        </w:rPr>
        <w:t>roup</w:t>
      </w:r>
      <w:r w:rsidRPr="005E0CD9">
        <w:rPr>
          <w:color w:val="000000" w:themeColor="text1"/>
          <w:sz w:val="22"/>
          <w:szCs w:val="22"/>
        </w:rPr>
        <w:t>, we believe the UK should prioritise the delivery of a credible, robust, and usable green taxonomy before any exploration of a transition taxonomy or ‘extended taxonomy’</w:t>
      </w:r>
      <w:r w:rsidR="00A345CF">
        <w:rPr>
          <w:color w:val="000000" w:themeColor="text1"/>
          <w:sz w:val="22"/>
          <w:szCs w:val="22"/>
        </w:rPr>
        <w:t>.</w:t>
      </w:r>
      <w:r w:rsidR="00A345CF">
        <w:rPr>
          <w:rStyle w:val="FootnoteReference"/>
          <w:color w:val="000000" w:themeColor="text1"/>
          <w:sz w:val="22"/>
          <w:szCs w:val="22"/>
        </w:rPr>
        <w:footnoteReference w:id="7"/>
      </w:r>
    </w:p>
    <w:p w14:paraId="7AEFE7D1" w14:textId="724B1B83" w:rsidR="00A42307" w:rsidRPr="005E0CD9" w:rsidRDefault="00A42307" w:rsidP="006E08A7">
      <w:pPr>
        <w:pStyle w:val="ListParagraph"/>
        <w:numPr>
          <w:ilvl w:val="0"/>
          <w:numId w:val="28"/>
        </w:numPr>
        <w:rPr>
          <w:b/>
          <w:bCs/>
          <w:color w:val="000000" w:themeColor="text1"/>
          <w:sz w:val="22"/>
          <w:szCs w:val="22"/>
        </w:rPr>
      </w:pPr>
      <w:r w:rsidRPr="005E0CD9">
        <w:rPr>
          <w:b/>
          <w:bCs/>
          <w:color w:val="000000" w:themeColor="text1"/>
          <w:sz w:val="22"/>
          <w:szCs w:val="22"/>
        </w:rPr>
        <w:t xml:space="preserve">There are already several sustainable taxonomies in operation in other jurisdictions that UK based companies may interact with. How do respondents currently use different taxonomies (both jurisdictional and internal/market-led) to inform decision making? </w:t>
      </w:r>
      <w:r w:rsidR="004619DC" w:rsidRPr="005E0CD9">
        <w:rPr>
          <w:b/>
          <w:bCs/>
          <w:color w:val="000000" w:themeColor="text1"/>
          <w:sz w:val="22"/>
          <w:szCs w:val="22"/>
        </w:rPr>
        <w:t>(Optional)</w:t>
      </w:r>
    </w:p>
    <w:p w14:paraId="47C21016" w14:textId="451B89A9" w:rsidR="00A42307" w:rsidRPr="005E0CD9" w:rsidRDefault="00A948FC" w:rsidP="00C56D73">
      <w:pPr>
        <w:rPr>
          <w:color w:val="000000" w:themeColor="text1"/>
          <w:sz w:val="22"/>
          <w:szCs w:val="22"/>
        </w:rPr>
      </w:pPr>
      <w:r w:rsidRPr="005E0CD9">
        <w:rPr>
          <w:color w:val="000000" w:themeColor="text1"/>
          <w:sz w:val="22"/>
          <w:szCs w:val="22"/>
        </w:rPr>
        <w:t xml:space="preserve">Members of the Aldersgate Group </w:t>
      </w:r>
      <w:r w:rsidR="000C4D83" w:rsidRPr="005E0CD9">
        <w:rPr>
          <w:color w:val="000000" w:themeColor="text1"/>
          <w:sz w:val="22"/>
          <w:szCs w:val="22"/>
        </w:rPr>
        <w:t xml:space="preserve">report that they </w:t>
      </w:r>
      <w:r w:rsidR="00174B23" w:rsidRPr="005E0CD9">
        <w:rPr>
          <w:color w:val="000000" w:themeColor="text1"/>
          <w:sz w:val="22"/>
          <w:szCs w:val="22"/>
        </w:rPr>
        <w:t>use taxonomies to</w:t>
      </w:r>
      <w:r w:rsidR="000C4D83" w:rsidRPr="005E0CD9">
        <w:rPr>
          <w:color w:val="000000" w:themeColor="text1"/>
          <w:sz w:val="22"/>
          <w:szCs w:val="22"/>
        </w:rPr>
        <w:t xml:space="preserve"> </w:t>
      </w:r>
      <w:r w:rsidR="00366022">
        <w:rPr>
          <w:color w:val="000000" w:themeColor="text1"/>
          <w:sz w:val="22"/>
          <w:szCs w:val="22"/>
        </w:rPr>
        <w:t>help secure</w:t>
      </w:r>
      <w:r w:rsidR="000105D6" w:rsidRPr="005E0CD9">
        <w:rPr>
          <w:color w:val="000000" w:themeColor="text1"/>
          <w:sz w:val="22"/>
          <w:szCs w:val="22"/>
        </w:rPr>
        <w:t xml:space="preserve"> investment</w:t>
      </w:r>
      <w:r w:rsidR="00174B23" w:rsidRPr="005E0CD9">
        <w:rPr>
          <w:color w:val="000000" w:themeColor="text1"/>
          <w:sz w:val="22"/>
          <w:szCs w:val="22"/>
        </w:rPr>
        <w:t xml:space="preserve">. CBRE Investment Management, for example, has aligned its Green Finance Framework with </w:t>
      </w:r>
      <w:r w:rsidR="00C56D73" w:rsidRPr="005E0CD9">
        <w:rPr>
          <w:color w:val="000000" w:themeColor="text1"/>
          <w:sz w:val="22"/>
          <w:szCs w:val="22"/>
        </w:rPr>
        <w:t>the</w:t>
      </w:r>
      <w:r w:rsidR="00174B23" w:rsidRPr="005E0CD9">
        <w:rPr>
          <w:color w:val="000000" w:themeColor="text1"/>
          <w:sz w:val="22"/>
          <w:szCs w:val="22"/>
        </w:rPr>
        <w:t xml:space="preserve"> EU Taxonomy, </w:t>
      </w:r>
      <w:r w:rsidR="009B55D1">
        <w:rPr>
          <w:color w:val="000000" w:themeColor="text1"/>
          <w:sz w:val="22"/>
          <w:szCs w:val="22"/>
        </w:rPr>
        <w:t>which has helped</w:t>
      </w:r>
      <w:r w:rsidR="00174B23" w:rsidRPr="005E0CD9">
        <w:rPr>
          <w:color w:val="000000" w:themeColor="text1"/>
          <w:sz w:val="22"/>
          <w:szCs w:val="22"/>
        </w:rPr>
        <w:t xml:space="preserve"> it to meet market expectations and reduce the risk of ‘green’ being interpreted as CBRE IM’s own opinion. In 2021, CBRE IM raised</w:t>
      </w:r>
      <w:r w:rsidR="00C56D73" w:rsidRPr="005E0CD9">
        <w:rPr>
          <w:color w:val="000000" w:themeColor="text1"/>
          <w:sz w:val="22"/>
          <w:szCs w:val="22"/>
        </w:rPr>
        <w:t xml:space="preserve"> €1bn in two issuances of green bonds. The proceeds of these instruments were allocated to green projects, as defined by the EU Taxonomy. In CBRE IM’s view, “the EU Taxonomy helped facilitate a successful Green Bond, indicat</w:t>
      </w:r>
      <w:r w:rsidR="00B12F28" w:rsidRPr="005E0CD9">
        <w:rPr>
          <w:color w:val="000000" w:themeColor="text1"/>
          <w:sz w:val="22"/>
          <w:szCs w:val="22"/>
        </w:rPr>
        <w:t>ing</w:t>
      </w:r>
      <w:r w:rsidR="00C56D73" w:rsidRPr="005E0CD9">
        <w:rPr>
          <w:color w:val="000000" w:themeColor="text1"/>
          <w:sz w:val="22"/>
          <w:szCs w:val="22"/>
        </w:rPr>
        <w:t xml:space="preserve"> that the UK Taxonomy could help drive similar green finance activity in the UK”</w:t>
      </w:r>
      <w:r w:rsidR="00E23215">
        <w:rPr>
          <w:color w:val="000000" w:themeColor="text1"/>
          <w:sz w:val="22"/>
          <w:szCs w:val="22"/>
        </w:rPr>
        <w:t>.</w:t>
      </w:r>
      <w:r w:rsidR="00E23215">
        <w:rPr>
          <w:rStyle w:val="FootnoteReference"/>
          <w:color w:val="000000" w:themeColor="text1"/>
          <w:sz w:val="22"/>
          <w:szCs w:val="22"/>
        </w:rPr>
        <w:footnoteReference w:id="8"/>
      </w:r>
    </w:p>
    <w:p w14:paraId="4F2572A0" w14:textId="2C55D8BB" w:rsidR="00950434" w:rsidRPr="005E0CD9" w:rsidRDefault="00950434" w:rsidP="00C56D73">
      <w:pPr>
        <w:rPr>
          <w:color w:val="000000" w:themeColor="text1"/>
          <w:sz w:val="22"/>
          <w:szCs w:val="22"/>
        </w:rPr>
      </w:pPr>
      <w:r w:rsidRPr="005E0CD9">
        <w:rPr>
          <w:color w:val="000000" w:themeColor="text1"/>
          <w:sz w:val="22"/>
          <w:szCs w:val="22"/>
        </w:rPr>
        <w:t>Members of the Aldersgate Group</w:t>
      </w:r>
      <w:r w:rsidR="000C4D83" w:rsidRPr="005E0CD9">
        <w:rPr>
          <w:color w:val="000000" w:themeColor="text1"/>
          <w:sz w:val="22"/>
          <w:szCs w:val="22"/>
        </w:rPr>
        <w:t xml:space="preserve"> have also reported that the EU green taxonomy has been useful </w:t>
      </w:r>
      <w:r w:rsidR="000105D6" w:rsidRPr="005E0CD9">
        <w:rPr>
          <w:color w:val="000000" w:themeColor="text1"/>
          <w:sz w:val="22"/>
          <w:szCs w:val="22"/>
        </w:rPr>
        <w:t>for internal decision</w:t>
      </w:r>
      <w:r w:rsidR="001D7165" w:rsidRPr="005E0CD9">
        <w:rPr>
          <w:color w:val="000000" w:themeColor="text1"/>
          <w:sz w:val="22"/>
          <w:szCs w:val="22"/>
        </w:rPr>
        <w:t>-</w:t>
      </w:r>
      <w:r w:rsidR="000105D6" w:rsidRPr="005E0CD9">
        <w:rPr>
          <w:color w:val="000000" w:themeColor="text1"/>
          <w:sz w:val="22"/>
          <w:szCs w:val="22"/>
        </w:rPr>
        <w:t xml:space="preserve">making regarding future investments, as it provides criteria outlining what would be considered a sustainability activity which can be applied consistently. </w:t>
      </w:r>
    </w:p>
    <w:p w14:paraId="0574948D" w14:textId="7286B8B6" w:rsidR="00A42307" w:rsidRPr="005E0CD9" w:rsidRDefault="00A42307" w:rsidP="006E08A7">
      <w:pPr>
        <w:pStyle w:val="ListParagraph"/>
        <w:numPr>
          <w:ilvl w:val="0"/>
          <w:numId w:val="28"/>
        </w:numPr>
        <w:rPr>
          <w:b/>
          <w:bCs/>
          <w:color w:val="000000" w:themeColor="text1"/>
          <w:sz w:val="22"/>
          <w:szCs w:val="22"/>
        </w:rPr>
      </w:pPr>
      <w:r w:rsidRPr="005E0CD9">
        <w:rPr>
          <w:b/>
          <w:bCs/>
          <w:color w:val="000000" w:themeColor="text1"/>
          <w:sz w:val="22"/>
          <w:szCs w:val="22"/>
        </w:rPr>
        <w:lastRenderedPageBreak/>
        <w:t>In which areas of the design of a UK Taxonomy would interoperability with these existing taxonomies be most helpful? These could include format, structure and naming, or thresholds and metrics.</w:t>
      </w:r>
      <w:r w:rsidR="004619DC" w:rsidRPr="005E0CD9">
        <w:rPr>
          <w:b/>
          <w:bCs/>
          <w:color w:val="000000" w:themeColor="text1"/>
          <w:sz w:val="22"/>
          <w:szCs w:val="22"/>
        </w:rPr>
        <w:t xml:space="preserve"> (Optional)</w:t>
      </w:r>
    </w:p>
    <w:p w14:paraId="53D74B67" w14:textId="67AA21C1" w:rsidR="00A42307" w:rsidRPr="005E0CD9" w:rsidRDefault="00934BBC" w:rsidP="00497FC8">
      <w:pPr>
        <w:rPr>
          <w:color w:val="000000" w:themeColor="text1"/>
          <w:sz w:val="22"/>
          <w:szCs w:val="22"/>
        </w:rPr>
      </w:pPr>
      <w:r w:rsidRPr="005E0CD9">
        <w:rPr>
          <w:color w:val="000000" w:themeColor="text1"/>
          <w:sz w:val="22"/>
          <w:szCs w:val="22"/>
        </w:rPr>
        <w:t>Where possible, the UK green taxonomy should take the same approach as other global taxonomies, which have largely been modelled o</w:t>
      </w:r>
      <w:r w:rsidR="00FD5E97" w:rsidRPr="005E0CD9">
        <w:rPr>
          <w:color w:val="000000" w:themeColor="text1"/>
          <w:sz w:val="22"/>
          <w:szCs w:val="22"/>
        </w:rPr>
        <w:t>n</w:t>
      </w:r>
      <w:r w:rsidRPr="005E0CD9">
        <w:rPr>
          <w:color w:val="000000" w:themeColor="text1"/>
          <w:sz w:val="22"/>
          <w:szCs w:val="22"/>
        </w:rPr>
        <w:t xml:space="preserve"> the EU green taxonomy. </w:t>
      </w:r>
      <w:r w:rsidR="001D7165" w:rsidRPr="005E0CD9">
        <w:rPr>
          <w:color w:val="000000" w:themeColor="text1"/>
          <w:sz w:val="22"/>
          <w:szCs w:val="22"/>
        </w:rPr>
        <w:t>This is critical to avoid divergence</w:t>
      </w:r>
      <w:r w:rsidR="005431C2">
        <w:rPr>
          <w:color w:val="000000" w:themeColor="text1"/>
          <w:sz w:val="22"/>
          <w:szCs w:val="22"/>
        </w:rPr>
        <w:t xml:space="preserve"> </w:t>
      </w:r>
      <w:r w:rsidR="001D7165" w:rsidRPr="005E0CD9">
        <w:rPr>
          <w:color w:val="000000" w:themeColor="text1"/>
          <w:sz w:val="22"/>
          <w:szCs w:val="22"/>
        </w:rPr>
        <w:t xml:space="preserve">which </w:t>
      </w:r>
      <w:r w:rsidR="00364753" w:rsidRPr="005E0CD9">
        <w:rPr>
          <w:color w:val="000000" w:themeColor="text1"/>
          <w:sz w:val="22"/>
          <w:szCs w:val="22"/>
        </w:rPr>
        <w:t xml:space="preserve">would </w:t>
      </w:r>
      <w:r w:rsidR="00497FC8" w:rsidRPr="005E0CD9">
        <w:rPr>
          <w:color w:val="000000" w:themeColor="text1"/>
          <w:sz w:val="22"/>
          <w:szCs w:val="22"/>
        </w:rPr>
        <w:t xml:space="preserve">force </w:t>
      </w:r>
      <w:r w:rsidR="003806D5" w:rsidRPr="005E0CD9">
        <w:rPr>
          <w:color w:val="000000" w:themeColor="text1"/>
          <w:sz w:val="22"/>
          <w:szCs w:val="22"/>
        </w:rPr>
        <w:t>companies</w:t>
      </w:r>
      <w:r w:rsidR="00A133E4" w:rsidRPr="005E0CD9">
        <w:rPr>
          <w:color w:val="000000" w:themeColor="text1"/>
          <w:sz w:val="22"/>
          <w:szCs w:val="22"/>
        </w:rPr>
        <w:t xml:space="preserve"> operating across jurisdictions and markets </w:t>
      </w:r>
      <w:r w:rsidR="00497FC8" w:rsidRPr="005E0CD9">
        <w:rPr>
          <w:color w:val="000000" w:themeColor="text1"/>
          <w:sz w:val="22"/>
          <w:szCs w:val="22"/>
        </w:rPr>
        <w:t xml:space="preserve">to apply different classifications </w:t>
      </w:r>
      <w:r w:rsidR="001D7165" w:rsidRPr="005E0CD9">
        <w:rPr>
          <w:color w:val="000000" w:themeColor="text1"/>
          <w:sz w:val="22"/>
          <w:szCs w:val="22"/>
        </w:rPr>
        <w:t>to</w:t>
      </w:r>
      <w:r w:rsidR="00497FC8" w:rsidRPr="005E0CD9">
        <w:rPr>
          <w:color w:val="000000" w:themeColor="text1"/>
          <w:sz w:val="22"/>
          <w:szCs w:val="22"/>
        </w:rPr>
        <w:t xml:space="preserve"> products and services</w:t>
      </w:r>
      <w:r w:rsidR="006E31CC">
        <w:rPr>
          <w:color w:val="000000" w:themeColor="text1"/>
          <w:sz w:val="22"/>
          <w:szCs w:val="22"/>
        </w:rPr>
        <w:t xml:space="preserve">, </w:t>
      </w:r>
      <w:r w:rsidR="00497FC8" w:rsidRPr="005E0CD9">
        <w:rPr>
          <w:color w:val="000000" w:themeColor="text1"/>
          <w:sz w:val="22"/>
          <w:szCs w:val="22"/>
        </w:rPr>
        <w:t xml:space="preserve">restricting the </w:t>
      </w:r>
      <w:r w:rsidR="003806D5" w:rsidRPr="005E0CD9">
        <w:rPr>
          <w:color w:val="000000" w:themeColor="text1"/>
          <w:sz w:val="22"/>
          <w:szCs w:val="22"/>
        </w:rPr>
        <w:t xml:space="preserve">international flow of capital and increasing compliance costs. </w:t>
      </w:r>
      <w:r w:rsidR="001D7165" w:rsidRPr="005E0CD9">
        <w:rPr>
          <w:color w:val="000000" w:themeColor="text1"/>
          <w:sz w:val="22"/>
          <w:szCs w:val="22"/>
        </w:rPr>
        <w:t xml:space="preserve">When developing a UK green taxonomy, however, </w:t>
      </w:r>
      <w:r w:rsidR="00EF48AD" w:rsidRPr="005E0CD9">
        <w:rPr>
          <w:color w:val="000000" w:themeColor="text1"/>
          <w:sz w:val="22"/>
          <w:szCs w:val="22"/>
        </w:rPr>
        <w:t>consideration should be given to the UK context, policies, aims and targets</w:t>
      </w:r>
      <w:r w:rsidR="00632EAA" w:rsidRPr="005E0CD9">
        <w:rPr>
          <w:color w:val="000000" w:themeColor="text1"/>
          <w:sz w:val="22"/>
          <w:szCs w:val="22"/>
        </w:rPr>
        <w:t xml:space="preserve"> to maximise its effectiveness and usability (see </w:t>
      </w:r>
      <w:r w:rsidR="00255545" w:rsidRPr="005E0CD9">
        <w:rPr>
          <w:color w:val="000000" w:themeColor="text1"/>
          <w:sz w:val="22"/>
          <w:szCs w:val="22"/>
        </w:rPr>
        <w:t xml:space="preserve">answer to question 17). </w:t>
      </w:r>
    </w:p>
    <w:p w14:paraId="2E967690" w14:textId="20C5BB01" w:rsidR="001D56CB" w:rsidRPr="005E0CD9" w:rsidRDefault="00A42307" w:rsidP="006E08A7">
      <w:pPr>
        <w:pStyle w:val="ListParagraph"/>
        <w:numPr>
          <w:ilvl w:val="0"/>
          <w:numId w:val="28"/>
        </w:numPr>
        <w:rPr>
          <w:b/>
          <w:bCs/>
          <w:color w:val="000000" w:themeColor="text1"/>
          <w:sz w:val="22"/>
          <w:szCs w:val="22"/>
        </w:rPr>
      </w:pPr>
      <w:r w:rsidRPr="005E0CD9">
        <w:rPr>
          <w:b/>
          <w:bCs/>
          <w:color w:val="000000" w:themeColor="text1"/>
          <w:sz w:val="22"/>
          <w:szCs w:val="22"/>
        </w:rPr>
        <w:t>Are there any lessons learned, or best practice from other jurisdictional taxonomies that a potential UK Taxonomy could be informed by?</w:t>
      </w:r>
      <w:r w:rsidR="004619DC" w:rsidRPr="005E0CD9">
        <w:rPr>
          <w:b/>
          <w:bCs/>
          <w:color w:val="000000" w:themeColor="text1"/>
          <w:sz w:val="22"/>
          <w:szCs w:val="22"/>
        </w:rPr>
        <w:t xml:space="preserve"> (Optional)</w:t>
      </w:r>
    </w:p>
    <w:p w14:paraId="0378A364" w14:textId="1DC5F475" w:rsidR="00DB5EFD" w:rsidRPr="005E0CD9" w:rsidRDefault="00DB5EFD" w:rsidP="00DB5EFD">
      <w:pPr>
        <w:rPr>
          <w:color w:val="000000" w:themeColor="text1"/>
          <w:sz w:val="22"/>
          <w:szCs w:val="22"/>
        </w:rPr>
      </w:pPr>
      <w:r w:rsidRPr="005E0CD9">
        <w:rPr>
          <w:color w:val="000000" w:themeColor="text1"/>
          <w:sz w:val="22"/>
          <w:szCs w:val="22"/>
        </w:rPr>
        <w:t xml:space="preserve">There are several lessons the UK could learn from the implementation of the EU </w:t>
      </w:r>
      <w:r w:rsidR="005761C5" w:rsidRPr="005E0CD9">
        <w:rPr>
          <w:color w:val="000000" w:themeColor="text1"/>
          <w:sz w:val="22"/>
          <w:szCs w:val="22"/>
        </w:rPr>
        <w:t>g</w:t>
      </w:r>
      <w:r w:rsidRPr="005E0CD9">
        <w:rPr>
          <w:color w:val="000000" w:themeColor="text1"/>
          <w:sz w:val="22"/>
          <w:szCs w:val="22"/>
        </w:rPr>
        <w:t xml:space="preserve">reen </w:t>
      </w:r>
      <w:r w:rsidR="005761C5" w:rsidRPr="005E0CD9">
        <w:rPr>
          <w:color w:val="000000" w:themeColor="text1"/>
          <w:sz w:val="22"/>
          <w:szCs w:val="22"/>
        </w:rPr>
        <w:t>t</w:t>
      </w:r>
      <w:r w:rsidRPr="005E0CD9">
        <w:rPr>
          <w:color w:val="000000" w:themeColor="text1"/>
          <w:sz w:val="22"/>
          <w:szCs w:val="22"/>
        </w:rPr>
        <w:t>axonomy:</w:t>
      </w:r>
    </w:p>
    <w:p w14:paraId="66414F17" w14:textId="3B67FB3D" w:rsidR="00E45CEF" w:rsidRPr="005E0CD9" w:rsidRDefault="00E45CEF" w:rsidP="0047031D">
      <w:pPr>
        <w:pStyle w:val="ListParagraph"/>
        <w:numPr>
          <w:ilvl w:val="0"/>
          <w:numId w:val="25"/>
        </w:numPr>
        <w:rPr>
          <w:color w:val="000000" w:themeColor="text1"/>
          <w:sz w:val="22"/>
          <w:szCs w:val="22"/>
        </w:rPr>
      </w:pPr>
      <w:r w:rsidRPr="005E0CD9">
        <w:rPr>
          <w:color w:val="000000" w:themeColor="text1"/>
          <w:sz w:val="22"/>
          <w:szCs w:val="22"/>
        </w:rPr>
        <w:t>Sequencing. The EU green taxonomy requires financial and non-financial companies to report at the same time. A study of the EU’s 100 largest companies identified a data-lag, whereby the financial companies must make an educated guess because of the lack of data. Th</w:t>
      </w:r>
      <w:r w:rsidR="00437F7C" w:rsidRPr="005E0CD9">
        <w:rPr>
          <w:color w:val="000000" w:themeColor="text1"/>
          <w:sz w:val="22"/>
          <w:szCs w:val="22"/>
        </w:rPr>
        <w:t>is</w:t>
      </w:r>
      <w:r w:rsidRPr="005E0CD9">
        <w:rPr>
          <w:color w:val="000000" w:themeColor="text1"/>
          <w:sz w:val="22"/>
          <w:szCs w:val="22"/>
        </w:rPr>
        <w:t xml:space="preserve"> analysis suggested financial companies are reporting the eligibility of their assets at 60%, compared to non-financial companies</w:t>
      </w:r>
      <w:r w:rsidR="00BF7D9B" w:rsidRPr="005E0CD9">
        <w:rPr>
          <w:color w:val="000000" w:themeColor="text1"/>
          <w:sz w:val="22"/>
          <w:szCs w:val="22"/>
        </w:rPr>
        <w:t>,</w:t>
      </w:r>
      <w:r w:rsidRPr="005E0CD9">
        <w:rPr>
          <w:color w:val="000000" w:themeColor="text1"/>
          <w:sz w:val="22"/>
          <w:szCs w:val="22"/>
        </w:rPr>
        <w:t xml:space="preserve"> who are reporting that just 37% of their turnover is taxonomy eligible.</w:t>
      </w:r>
      <w:r w:rsidR="00996038">
        <w:rPr>
          <w:rStyle w:val="FootnoteReference"/>
          <w:color w:val="000000" w:themeColor="text1"/>
          <w:sz w:val="22"/>
          <w:szCs w:val="22"/>
        </w:rPr>
        <w:footnoteReference w:id="9"/>
      </w:r>
      <w:r w:rsidRPr="005E0CD9">
        <w:rPr>
          <w:color w:val="000000" w:themeColor="text1"/>
          <w:sz w:val="22"/>
          <w:szCs w:val="22"/>
        </w:rPr>
        <w:t xml:space="preserve"> Should the UK government decide to adopt a mandatory approach to taxonomy alignment disclosures, requirements for corporates should be introduced first, then asset managers, followed by asset owners. This will enable the flow of information through the value chain.</w:t>
      </w:r>
    </w:p>
    <w:p w14:paraId="72840D21" w14:textId="40DB0D7C" w:rsidR="00E45CEF" w:rsidRPr="005E0CD9" w:rsidRDefault="00E45CEF" w:rsidP="0047031D">
      <w:pPr>
        <w:pStyle w:val="ListParagraph"/>
        <w:numPr>
          <w:ilvl w:val="0"/>
          <w:numId w:val="25"/>
        </w:numPr>
        <w:rPr>
          <w:color w:val="000000" w:themeColor="text1"/>
          <w:sz w:val="22"/>
          <w:szCs w:val="22"/>
        </w:rPr>
      </w:pPr>
      <w:r w:rsidRPr="005E0CD9">
        <w:rPr>
          <w:color w:val="000000" w:themeColor="text1"/>
          <w:sz w:val="22"/>
          <w:szCs w:val="22"/>
        </w:rPr>
        <w:t>Integration with other disclosure requirements. In the EU, the definition of taxonomy-eligible activities is not fully aligned to the definition of ‘sustainable investment’ under the Sustainable Finance Disclosure Regulation, leading to a dual classification system that is inefficient and in some</w:t>
      </w:r>
      <w:r w:rsidR="00FB1380" w:rsidRPr="005E0CD9">
        <w:rPr>
          <w:color w:val="000000" w:themeColor="text1"/>
          <w:sz w:val="22"/>
          <w:szCs w:val="22"/>
        </w:rPr>
        <w:t xml:space="preserve"> cases contradictory. Should the UK government implement a taxonomy, it must be complementary wit</w:t>
      </w:r>
      <w:r w:rsidR="00B82A2B">
        <w:rPr>
          <w:color w:val="000000" w:themeColor="text1"/>
          <w:sz w:val="22"/>
          <w:szCs w:val="22"/>
        </w:rPr>
        <w:t>h other elements of the overarching</w:t>
      </w:r>
      <w:r w:rsidR="00FB1380" w:rsidRPr="005E0CD9">
        <w:rPr>
          <w:color w:val="000000" w:themeColor="text1"/>
          <w:sz w:val="22"/>
          <w:szCs w:val="22"/>
        </w:rPr>
        <w:t xml:space="preserve"> </w:t>
      </w:r>
      <w:r w:rsidR="00B82A2B">
        <w:rPr>
          <w:color w:val="000000" w:themeColor="text1"/>
          <w:sz w:val="22"/>
          <w:szCs w:val="22"/>
        </w:rPr>
        <w:t xml:space="preserve">sustainable finance regulatory framework. </w:t>
      </w:r>
    </w:p>
    <w:p w14:paraId="3F4A8766" w14:textId="22AF59DB" w:rsidR="00A854F5" w:rsidRPr="005E0CD9" w:rsidRDefault="005B7B46" w:rsidP="0047031D">
      <w:pPr>
        <w:pStyle w:val="ListParagraph"/>
        <w:numPr>
          <w:ilvl w:val="0"/>
          <w:numId w:val="25"/>
        </w:numPr>
        <w:rPr>
          <w:color w:val="000000" w:themeColor="text1"/>
          <w:sz w:val="22"/>
          <w:szCs w:val="22"/>
        </w:rPr>
      </w:pPr>
      <w:r w:rsidRPr="005E0CD9">
        <w:rPr>
          <w:color w:val="000000" w:themeColor="text1"/>
          <w:sz w:val="22"/>
          <w:szCs w:val="22"/>
        </w:rPr>
        <w:t xml:space="preserve">Science-based. The EU green taxonomy has attracted criticism because of its </w:t>
      </w:r>
      <w:r w:rsidR="00A955A0" w:rsidRPr="005E0CD9">
        <w:rPr>
          <w:color w:val="000000" w:themeColor="text1"/>
          <w:sz w:val="22"/>
          <w:szCs w:val="22"/>
        </w:rPr>
        <w:t>classification</w:t>
      </w:r>
      <w:r w:rsidRPr="005E0CD9">
        <w:rPr>
          <w:color w:val="000000" w:themeColor="text1"/>
          <w:sz w:val="22"/>
          <w:szCs w:val="22"/>
        </w:rPr>
        <w:t xml:space="preserve"> of natural gas</w:t>
      </w:r>
      <w:r w:rsidR="00221FA1" w:rsidRPr="005E0CD9">
        <w:rPr>
          <w:color w:val="000000" w:themeColor="text1"/>
          <w:sz w:val="22"/>
          <w:szCs w:val="22"/>
        </w:rPr>
        <w:t>, energy from waste,</w:t>
      </w:r>
      <w:r w:rsidRPr="005E0CD9">
        <w:rPr>
          <w:color w:val="000000" w:themeColor="text1"/>
          <w:sz w:val="22"/>
          <w:szCs w:val="22"/>
        </w:rPr>
        <w:t xml:space="preserve"> </w:t>
      </w:r>
      <w:r w:rsidR="00A955A0" w:rsidRPr="005E0CD9">
        <w:rPr>
          <w:color w:val="000000" w:themeColor="text1"/>
          <w:sz w:val="22"/>
          <w:szCs w:val="22"/>
        </w:rPr>
        <w:t xml:space="preserve">and some forms of agriculture (such as industrial livestock production) as </w:t>
      </w:r>
      <w:r w:rsidR="00A854F5" w:rsidRPr="005E0CD9">
        <w:rPr>
          <w:color w:val="000000" w:themeColor="text1"/>
          <w:sz w:val="22"/>
          <w:szCs w:val="22"/>
        </w:rPr>
        <w:t>‘green’</w:t>
      </w:r>
      <w:r w:rsidR="000E659E" w:rsidRPr="005E0CD9">
        <w:rPr>
          <w:color w:val="000000" w:themeColor="text1"/>
          <w:sz w:val="22"/>
          <w:szCs w:val="22"/>
        </w:rPr>
        <w:t>.</w:t>
      </w:r>
      <w:r w:rsidR="005414A9">
        <w:rPr>
          <w:rStyle w:val="FootnoteReference"/>
          <w:color w:val="000000" w:themeColor="text1"/>
          <w:sz w:val="22"/>
          <w:szCs w:val="22"/>
        </w:rPr>
        <w:footnoteReference w:id="10"/>
      </w:r>
      <w:r w:rsidR="000E659E" w:rsidRPr="005E0CD9">
        <w:rPr>
          <w:color w:val="000000" w:themeColor="text1"/>
          <w:sz w:val="22"/>
          <w:szCs w:val="22"/>
        </w:rPr>
        <w:t xml:space="preserve"> The inclusion of these activities </w:t>
      </w:r>
      <w:r w:rsidR="00A854F5" w:rsidRPr="005E0CD9">
        <w:rPr>
          <w:color w:val="000000" w:themeColor="text1"/>
          <w:sz w:val="22"/>
          <w:szCs w:val="22"/>
        </w:rPr>
        <w:t>undermines the scientific credibility of the EU taxonomy</w:t>
      </w:r>
      <w:r w:rsidR="000B4B4F">
        <w:rPr>
          <w:color w:val="000000" w:themeColor="text1"/>
          <w:sz w:val="22"/>
          <w:szCs w:val="22"/>
        </w:rPr>
        <w:t xml:space="preserve">, is inconsistent with the UK’s climate commitments, </w:t>
      </w:r>
      <w:r w:rsidR="004C67E9" w:rsidRPr="005E0CD9">
        <w:rPr>
          <w:color w:val="000000" w:themeColor="text1"/>
          <w:sz w:val="22"/>
          <w:szCs w:val="22"/>
        </w:rPr>
        <w:t xml:space="preserve">and will hinder investors’ ability to identify and </w:t>
      </w:r>
      <w:r w:rsidR="00B42777" w:rsidRPr="005E0CD9">
        <w:rPr>
          <w:color w:val="000000" w:themeColor="text1"/>
          <w:sz w:val="22"/>
          <w:szCs w:val="22"/>
        </w:rPr>
        <w:t xml:space="preserve">channel </w:t>
      </w:r>
      <w:r w:rsidR="004C67E9" w:rsidRPr="005E0CD9">
        <w:rPr>
          <w:color w:val="000000" w:themeColor="text1"/>
          <w:sz w:val="22"/>
          <w:szCs w:val="22"/>
        </w:rPr>
        <w:t>capital towards environmentally sustainable activities</w:t>
      </w:r>
      <w:r w:rsidR="00A854F5" w:rsidRPr="005E0CD9">
        <w:rPr>
          <w:color w:val="000000" w:themeColor="text1"/>
          <w:sz w:val="22"/>
          <w:szCs w:val="22"/>
        </w:rPr>
        <w:t xml:space="preserve">. A UK green taxonomy </w:t>
      </w:r>
      <w:r w:rsidR="004C67E9" w:rsidRPr="005E0CD9">
        <w:rPr>
          <w:color w:val="000000" w:themeColor="text1"/>
          <w:sz w:val="22"/>
          <w:szCs w:val="22"/>
        </w:rPr>
        <w:t xml:space="preserve">must use robust, scientific, and evidence-based criteria. </w:t>
      </w:r>
    </w:p>
    <w:p w14:paraId="73DBCD19" w14:textId="33DC6D43" w:rsidR="004909A2" w:rsidRPr="005E0CD9" w:rsidRDefault="00A6063D" w:rsidP="0047031D">
      <w:pPr>
        <w:pStyle w:val="ListParagraph"/>
        <w:numPr>
          <w:ilvl w:val="0"/>
          <w:numId w:val="25"/>
        </w:numPr>
        <w:rPr>
          <w:color w:val="000000" w:themeColor="text1"/>
          <w:sz w:val="22"/>
          <w:szCs w:val="22"/>
        </w:rPr>
      </w:pPr>
      <w:r w:rsidRPr="005E0CD9">
        <w:rPr>
          <w:color w:val="000000" w:themeColor="text1"/>
          <w:sz w:val="22"/>
          <w:szCs w:val="22"/>
        </w:rPr>
        <w:t>Assessing economic activities across the life cycle. The EU green taxonomy does not include any pre-construction activities associated with the development of taxonomy-eli</w:t>
      </w:r>
      <w:r w:rsidR="001F2CD2" w:rsidRPr="005E0CD9">
        <w:rPr>
          <w:color w:val="000000" w:themeColor="text1"/>
          <w:sz w:val="22"/>
          <w:szCs w:val="22"/>
        </w:rPr>
        <w:t xml:space="preserve">gible activities, such as renewable energy generation or e-mobility. As a result, pre-construction </w:t>
      </w:r>
      <w:r w:rsidR="0001468D" w:rsidRPr="005E0CD9">
        <w:rPr>
          <w:color w:val="000000" w:themeColor="text1"/>
          <w:sz w:val="22"/>
          <w:szCs w:val="22"/>
        </w:rPr>
        <w:t xml:space="preserve">development expenditure cannot be categorised as taxonomy-aligned </w:t>
      </w:r>
      <w:r w:rsidR="0001468D" w:rsidRPr="005E0CD9">
        <w:rPr>
          <w:color w:val="000000" w:themeColor="text1"/>
          <w:sz w:val="22"/>
          <w:szCs w:val="22"/>
        </w:rPr>
        <w:lastRenderedPageBreak/>
        <w:t xml:space="preserve">capital, </w:t>
      </w:r>
      <w:r w:rsidR="00F431A6" w:rsidRPr="005E0CD9">
        <w:rPr>
          <w:color w:val="000000" w:themeColor="text1"/>
          <w:sz w:val="22"/>
          <w:szCs w:val="22"/>
        </w:rPr>
        <w:t xml:space="preserve">restricting the flow of </w:t>
      </w:r>
      <w:r w:rsidR="0001468D" w:rsidRPr="005E0CD9">
        <w:rPr>
          <w:color w:val="000000" w:themeColor="text1"/>
          <w:sz w:val="22"/>
          <w:szCs w:val="22"/>
        </w:rPr>
        <w:t xml:space="preserve">capital into </w:t>
      </w:r>
      <w:r w:rsidR="00F431A6" w:rsidRPr="005E0CD9">
        <w:rPr>
          <w:color w:val="000000" w:themeColor="text1"/>
          <w:sz w:val="22"/>
          <w:szCs w:val="22"/>
        </w:rPr>
        <w:t xml:space="preserve">the </w:t>
      </w:r>
      <w:r w:rsidR="0001468D" w:rsidRPr="005E0CD9">
        <w:rPr>
          <w:color w:val="000000" w:themeColor="text1"/>
          <w:sz w:val="22"/>
          <w:szCs w:val="22"/>
        </w:rPr>
        <w:t xml:space="preserve">development of sustainable infrastructure. </w:t>
      </w:r>
      <w:r w:rsidR="00F431A6" w:rsidRPr="005E0CD9">
        <w:rPr>
          <w:color w:val="000000" w:themeColor="text1"/>
          <w:sz w:val="22"/>
          <w:szCs w:val="22"/>
        </w:rPr>
        <w:t xml:space="preserve">A UK green taxonomy </w:t>
      </w:r>
      <w:r w:rsidR="00E5590E" w:rsidRPr="005E0CD9">
        <w:rPr>
          <w:color w:val="000000" w:themeColor="text1"/>
          <w:sz w:val="22"/>
          <w:szCs w:val="22"/>
        </w:rPr>
        <w:t xml:space="preserve">should include pre-construction activities to incentivise investment further. </w:t>
      </w:r>
    </w:p>
    <w:p w14:paraId="2CE02BD7" w14:textId="08A54D85" w:rsidR="00F431A6" w:rsidRPr="005E0CD9" w:rsidRDefault="00033F17" w:rsidP="0047031D">
      <w:pPr>
        <w:pStyle w:val="ListParagraph"/>
        <w:numPr>
          <w:ilvl w:val="0"/>
          <w:numId w:val="25"/>
        </w:numPr>
        <w:rPr>
          <w:color w:val="000000" w:themeColor="text1"/>
          <w:sz w:val="22"/>
          <w:szCs w:val="22"/>
        </w:rPr>
      </w:pPr>
      <w:r w:rsidRPr="005E0CD9">
        <w:rPr>
          <w:color w:val="000000" w:themeColor="text1"/>
          <w:sz w:val="22"/>
          <w:szCs w:val="22"/>
        </w:rPr>
        <w:t xml:space="preserve">Do No Significant Harm (DNSH) criteria. </w:t>
      </w:r>
      <w:r w:rsidR="002D0C8E" w:rsidRPr="005E0CD9">
        <w:rPr>
          <w:color w:val="000000" w:themeColor="text1"/>
          <w:sz w:val="22"/>
          <w:szCs w:val="22"/>
        </w:rPr>
        <w:t xml:space="preserve">The EU green taxonomy’s DNSH criteria </w:t>
      </w:r>
      <w:r w:rsidR="00F072BE" w:rsidRPr="005E0CD9">
        <w:rPr>
          <w:color w:val="000000" w:themeColor="text1"/>
          <w:sz w:val="22"/>
          <w:szCs w:val="22"/>
        </w:rPr>
        <w:t xml:space="preserve">is repetitive, complex, and highly subjective – with an </w:t>
      </w:r>
      <w:r w:rsidR="00B048AD" w:rsidRPr="005E0CD9">
        <w:rPr>
          <w:color w:val="000000" w:themeColor="text1"/>
          <w:sz w:val="22"/>
          <w:szCs w:val="22"/>
        </w:rPr>
        <w:t>ambitious</w:t>
      </w:r>
      <w:r w:rsidR="00F072BE" w:rsidRPr="005E0CD9">
        <w:rPr>
          <w:color w:val="000000" w:themeColor="text1"/>
          <w:sz w:val="22"/>
          <w:szCs w:val="22"/>
        </w:rPr>
        <w:t xml:space="preserve"> definition of </w:t>
      </w:r>
      <w:r w:rsidR="00B048AD" w:rsidRPr="005E0CD9">
        <w:rPr>
          <w:color w:val="000000" w:themeColor="text1"/>
          <w:sz w:val="22"/>
          <w:szCs w:val="22"/>
        </w:rPr>
        <w:t xml:space="preserve">‘significant harm’. A UK green taxonomy should look to </w:t>
      </w:r>
      <w:r w:rsidR="001434A6" w:rsidRPr="005E0CD9">
        <w:rPr>
          <w:color w:val="000000" w:themeColor="text1"/>
          <w:sz w:val="22"/>
          <w:szCs w:val="22"/>
        </w:rPr>
        <w:t xml:space="preserve">simplify the DNSH criteria and </w:t>
      </w:r>
      <w:r w:rsidR="00FC482D" w:rsidRPr="005E0CD9">
        <w:rPr>
          <w:color w:val="000000" w:themeColor="text1"/>
          <w:sz w:val="22"/>
          <w:szCs w:val="22"/>
        </w:rPr>
        <w:t xml:space="preserve">develop them in a way allows proportional and sector-specific application of good industry practice. </w:t>
      </w:r>
    </w:p>
    <w:p w14:paraId="1C14651A" w14:textId="36C07D7A" w:rsidR="000B19A4" w:rsidRPr="006E08A7" w:rsidRDefault="009E6CA2" w:rsidP="006E08A7">
      <w:pPr>
        <w:rPr>
          <w:color w:val="000000" w:themeColor="text1"/>
          <w:sz w:val="22"/>
          <w:szCs w:val="22"/>
        </w:rPr>
      </w:pPr>
      <w:r w:rsidRPr="005E0CD9">
        <w:rPr>
          <w:color w:val="000000" w:themeColor="text1"/>
          <w:sz w:val="22"/>
          <w:szCs w:val="22"/>
        </w:rPr>
        <w:t xml:space="preserve">The UK should also look to other jurisdictions to understand the different </w:t>
      </w:r>
      <w:r w:rsidR="00EB707A" w:rsidRPr="005E0CD9">
        <w:rPr>
          <w:color w:val="000000" w:themeColor="text1"/>
          <w:sz w:val="22"/>
          <w:szCs w:val="22"/>
        </w:rPr>
        <w:t>use cases</w:t>
      </w:r>
      <w:r w:rsidRPr="005E0CD9">
        <w:rPr>
          <w:color w:val="000000" w:themeColor="text1"/>
          <w:sz w:val="22"/>
          <w:szCs w:val="22"/>
        </w:rPr>
        <w:t xml:space="preserve"> </w:t>
      </w:r>
      <w:r w:rsidR="00C03217" w:rsidRPr="005E0CD9">
        <w:rPr>
          <w:color w:val="000000" w:themeColor="text1"/>
          <w:sz w:val="22"/>
          <w:szCs w:val="22"/>
        </w:rPr>
        <w:t>for</w:t>
      </w:r>
      <w:r w:rsidRPr="005E0CD9">
        <w:rPr>
          <w:color w:val="000000" w:themeColor="text1"/>
          <w:sz w:val="22"/>
          <w:szCs w:val="22"/>
        </w:rPr>
        <w:t xml:space="preserve"> taxonomies. </w:t>
      </w:r>
      <w:r w:rsidR="00275A67" w:rsidRPr="005E0CD9">
        <w:rPr>
          <w:color w:val="000000" w:themeColor="text1"/>
          <w:sz w:val="22"/>
          <w:szCs w:val="22"/>
        </w:rPr>
        <w:t xml:space="preserve">Germany, for example, </w:t>
      </w:r>
      <w:r w:rsidR="00796321">
        <w:rPr>
          <w:color w:val="000000" w:themeColor="text1"/>
          <w:sz w:val="22"/>
          <w:szCs w:val="22"/>
        </w:rPr>
        <w:t xml:space="preserve">has </w:t>
      </w:r>
      <w:r w:rsidR="00275A67" w:rsidRPr="005E0CD9">
        <w:rPr>
          <w:color w:val="000000" w:themeColor="text1"/>
          <w:sz w:val="22"/>
          <w:szCs w:val="22"/>
        </w:rPr>
        <w:t xml:space="preserve">developed a </w:t>
      </w:r>
      <w:r w:rsidR="00266FDF" w:rsidRPr="005E0CD9">
        <w:rPr>
          <w:color w:val="000000" w:themeColor="text1"/>
          <w:sz w:val="22"/>
          <w:szCs w:val="22"/>
        </w:rPr>
        <w:t xml:space="preserve">traffic light taxonomy </w:t>
      </w:r>
      <w:r w:rsidR="00FA70E6" w:rsidRPr="005E0CD9">
        <w:rPr>
          <w:color w:val="000000" w:themeColor="text1"/>
          <w:sz w:val="22"/>
          <w:szCs w:val="22"/>
        </w:rPr>
        <w:t>to better align its export credit</w:t>
      </w:r>
      <w:r w:rsidR="00B94346" w:rsidRPr="005E0CD9">
        <w:rPr>
          <w:color w:val="000000" w:themeColor="text1"/>
          <w:sz w:val="22"/>
          <w:szCs w:val="22"/>
        </w:rPr>
        <w:t xml:space="preserve"> </w:t>
      </w:r>
      <w:r w:rsidR="00F910BB" w:rsidRPr="005E0CD9">
        <w:rPr>
          <w:color w:val="000000" w:themeColor="text1"/>
          <w:sz w:val="22"/>
          <w:szCs w:val="22"/>
        </w:rPr>
        <w:t>guarantee</w:t>
      </w:r>
      <w:r w:rsidR="00FA70E6" w:rsidRPr="005E0CD9">
        <w:rPr>
          <w:color w:val="000000" w:themeColor="text1"/>
          <w:sz w:val="22"/>
          <w:szCs w:val="22"/>
        </w:rPr>
        <w:t xml:space="preserve"> scheme with its climate and environmental goals.</w:t>
      </w:r>
      <w:r w:rsidR="00FA7BDC">
        <w:rPr>
          <w:rStyle w:val="FootnoteReference"/>
          <w:color w:val="000000" w:themeColor="text1"/>
          <w:sz w:val="22"/>
          <w:szCs w:val="22"/>
        </w:rPr>
        <w:footnoteReference w:id="11"/>
      </w:r>
      <w:r w:rsidR="00FA70E6" w:rsidRPr="005E0CD9">
        <w:rPr>
          <w:color w:val="000000" w:themeColor="text1"/>
          <w:sz w:val="22"/>
          <w:szCs w:val="22"/>
        </w:rPr>
        <w:t xml:space="preserve"> </w:t>
      </w:r>
      <w:r w:rsidR="00B179BC">
        <w:rPr>
          <w:color w:val="000000" w:themeColor="text1"/>
          <w:sz w:val="22"/>
          <w:szCs w:val="22"/>
        </w:rPr>
        <w:t xml:space="preserve">Under </w:t>
      </w:r>
      <w:r w:rsidR="00D133F4">
        <w:rPr>
          <w:color w:val="000000" w:themeColor="text1"/>
          <w:sz w:val="22"/>
          <w:szCs w:val="22"/>
        </w:rPr>
        <w:t>this proposal, e</w:t>
      </w:r>
      <w:r w:rsidR="00FA70E6" w:rsidRPr="005E0CD9">
        <w:rPr>
          <w:color w:val="000000" w:themeColor="text1"/>
          <w:sz w:val="22"/>
          <w:szCs w:val="22"/>
        </w:rPr>
        <w:t>conomic activities in the ‘green’ category,</w:t>
      </w:r>
      <w:r w:rsidR="00C63EE3" w:rsidRPr="005E0CD9">
        <w:rPr>
          <w:color w:val="000000" w:themeColor="text1"/>
          <w:sz w:val="22"/>
          <w:szCs w:val="22"/>
        </w:rPr>
        <w:t xml:space="preserve"> such as renewable energy, power storage, and electricity and heating grids, </w:t>
      </w:r>
      <w:r w:rsidR="00B94346" w:rsidRPr="005E0CD9">
        <w:rPr>
          <w:color w:val="000000" w:themeColor="text1"/>
          <w:sz w:val="22"/>
          <w:szCs w:val="22"/>
        </w:rPr>
        <w:t xml:space="preserve">will receive easier and more attractive cover conditions. Meanwhile, activities in the ‘red’ category </w:t>
      </w:r>
      <w:r w:rsidR="00F910BB" w:rsidRPr="005E0CD9">
        <w:rPr>
          <w:color w:val="000000" w:themeColor="text1"/>
          <w:sz w:val="22"/>
          <w:szCs w:val="22"/>
        </w:rPr>
        <w:t xml:space="preserve">(coal and oil projects) </w:t>
      </w:r>
      <w:r w:rsidR="00B94346" w:rsidRPr="005E0CD9">
        <w:rPr>
          <w:color w:val="000000" w:themeColor="text1"/>
          <w:sz w:val="22"/>
          <w:szCs w:val="22"/>
        </w:rPr>
        <w:t xml:space="preserve">will no longer be eligible for the scheme. </w:t>
      </w:r>
    </w:p>
    <w:p w14:paraId="6F9ECA5F" w14:textId="2C5F2817" w:rsidR="00F17C82" w:rsidRPr="006E08A7" w:rsidRDefault="000B19A4" w:rsidP="006E08A7">
      <w:pPr>
        <w:pStyle w:val="ListParagraph"/>
        <w:numPr>
          <w:ilvl w:val="0"/>
          <w:numId w:val="27"/>
        </w:numPr>
        <w:rPr>
          <w:b/>
          <w:bCs/>
          <w:color w:val="000000" w:themeColor="text1"/>
          <w:sz w:val="22"/>
          <w:szCs w:val="22"/>
        </w:rPr>
      </w:pPr>
      <w:r w:rsidRPr="006E08A7">
        <w:rPr>
          <w:b/>
          <w:bCs/>
          <w:color w:val="000000" w:themeColor="text1"/>
          <w:sz w:val="22"/>
          <w:szCs w:val="22"/>
        </w:rPr>
        <w:t>It is likely a UK Taxonomy would need regular updates, potentially as often as every three years.</w:t>
      </w:r>
      <w:r w:rsidR="008E173B" w:rsidRPr="006E08A7">
        <w:rPr>
          <w:b/>
          <w:bCs/>
          <w:color w:val="000000" w:themeColor="text1"/>
          <w:sz w:val="22"/>
          <w:szCs w:val="22"/>
        </w:rPr>
        <w:t xml:space="preserve"> </w:t>
      </w:r>
      <w:r w:rsidRPr="006E08A7">
        <w:rPr>
          <w:b/>
          <w:bCs/>
          <w:color w:val="000000" w:themeColor="text1"/>
          <w:sz w:val="22"/>
          <w:szCs w:val="22"/>
        </w:rPr>
        <w:t xml:space="preserve">Do you agree with this regularity? </w:t>
      </w:r>
      <w:r w:rsidR="008E173B" w:rsidRPr="006E08A7">
        <w:rPr>
          <w:b/>
          <w:bCs/>
          <w:color w:val="000000" w:themeColor="text1"/>
          <w:sz w:val="22"/>
          <w:szCs w:val="22"/>
        </w:rPr>
        <w:t>(Optional)</w:t>
      </w:r>
    </w:p>
    <w:p w14:paraId="645715E6" w14:textId="11BB0CDD" w:rsidR="007E5B41" w:rsidRPr="005E0CD9" w:rsidRDefault="007510C3" w:rsidP="00B3412A">
      <w:pPr>
        <w:rPr>
          <w:color w:val="000000" w:themeColor="text1"/>
          <w:sz w:val="22"/>
          <w:szCs w:val="22"/>
        </w:rPr>
      </w:pPr>
      <w:r w:rsidRPr="005E0CD9">
        <w:rPr>
          <w:color w:val="000000" w:themeColor="text1"/>
          <w:sz w:val="22"/>
          <w:szCs w:val="22"/>
        </w:rPr>
        <w:t xml:space="preserve">A UK green taxonomy would require </w:t>
      </w:r>
      <w:r w:rsidR="00255545" w:rsidRPr="005E0CD9">
        <w:rPr>
          <w:color w:val="000000" w:themeColor="text1"/>
          <w:sz w:val="22"/>
          <w:szCs w:val="22"/>
        </w:rPr>
        <w:t>periodic review</w:t>
      </w:r>
      <w:r w:rsidRPr="005E0CD9">
        <w:rPr>
          <w:color w:val="000000" w:themeColor="text1"/>
          <w:sz w:val="22"/>
          <w:szCs w:val="22"/>
        </w:rPr>
        <w:t xml:space="preserve">. This is necessary </w:t>
      </w:r>
      <w:r w:rsidR="000979BA" w:rsidRPr="005E0CD9">
        <w:rPr>
          <w:color w:val="000000" w:themeColor="text1"/>
          <w:sz w:val="22"/>
          <w:szCs w:val="22"/>
        </w:rPr>
        <w:t xml:space="preserve">not only </w:t>
      </w:r>
      <w:r w:rsidRPr="005E0CD9">
        <w:rPr>
          <w:color w:val="000000" w:themeColor="text1"/>
          <w:sz w:val="22"/>
          <w:szCs w:val="22"/>
        </w:rPr>
        <w:t>to account for scientific, policy, and technological development</w:t>
      </w:r>
      <w:r w:rsidR="007E5B41" w:rsidRPr="005E0CD9">
        <w:rPr>
          <w:color w:val="000000" w:themeColor="text1"/>
          <w:sz w:val="22"/>
          <w:szCs w:val="22"/>
        </w:rPr>
        <w:t xml:space="preserve">, </w:t>
      </w:r>
      <w:r w:rsidR="000979BA" w:rsidRPr="005E0CD9">
        <w:rPr>
          <w:color w:val="000000" w:themeColor="text1"/>
          <w:sz w:val="22"/>
          <w:szCs w:val="22"/>
        </w:rPr>
        <w:t>but</w:t>
      </w:r>
      <w:r w:rsidR="00375A10" w:rsidRPr="005E0CD9">
        <w:rPr>
          <w:color w:val="000000" w:themeColor="text1"/>
          <w:sz w:val="22"/>
          <w:szCs w:val="22"/>
        </w:rPr>
        <w:t xml:space="preserve"> to</w:t>
      </w:r>
      <w:r w:rsidR="007E5B41" w:rsidRPr="005E0CD9">
        <w:rPr>
          <w:color w:val="000000" w:themeColor="text1"/>
          <w:sz w:val="22"/>
          <w:szCs w:val="22"/>
        </w:rPr>
        <w:t xml:space="preserve"> ensure the taxonomy remains fit for purpose</w:t>
      </w:r>
      <w:r w:rsidR="000979BA" w:rsidRPr="005E0CD9">
        <w:rPr>
          <w:color w:val="000000" w:themeColor="text1"/>
          <w:sz w:val="22"/>
          <w:szCs w:val="22"/>
        </w:rPr>
        <w:t xml:space="preserve"> and continues to drive performance towar</w:t>
      </w:r>
      <w:r w:rsidR="00CE6C85" w:rsidRPr="005E0CD9">
        <w:rPr>
          <w:color w:val="000000" w:themeColor="text1"/>
          <w:sz w:val="22"/>
          <w:szCs w:val="22"/>
        </w:rPr>
        <w:t xml:space="preserve">ds </w:t>
      </w:r>
      <w:r w:rsidR="00375A10" w:rsidRPr="005E0CD9">
        <w:rPr>
          <w:color w:val="000000" w:themeColor="text1"/>
          <w:sz w:val="22"/>
          <w:szCs w:val="22"/>
        </w:rPr>
        <w:t>its</w:t>
      </w:r>
      <w:r w:rsidR="00CE6C85" w:rsidRPr="005E0CD9">
        <w:rPr>
          <w:color w:val="000000" w:themeColor="text1"/>
          <w:sz w:val="22"/>
          <w:szCs w:val="22"/>
        </w:rPr>
        <w:t xml:space="preserve"> stated goals. </w:t>
      </w:r>
    </w:p>
    <w:p w14:paraId="3B33FBA8" w14:textId="1A6EA079" w:rsidR="008E173B" w:rsidRPr="005E0CD9" w:rsidRDefault="00D17EED" w:rsidP="00633BE0">
      <w:pPr>
        <w:rPr>
          <w:color w:val="000000" w:themeColor="text1"/>
          <w:sz w:val="22"/>
          <w:szCs w:val="22"/>
        </w:rPr>
      </w:pPr>
      <w:r w:rsidRPr="005E0CD9">
        <w:rPr>
          <w:color w:val="000000" w:themeColor="text1"/>
          <w:sz w:val="22"/>
          <w:szCs w:val="22"/>
        </w:rPr>
        <w:t>The inclusion of transitional activities should also be reviewed every 3-5 years</w:t>
      </w:r>
      <w:r w:rsidR="00CC0DB8" w:rsidRPr="005E0CD9">
        <w:rPr>
          <w:color w:val="000000" w:themeColor="text1"/>
          <w:sz w:val="22"/>
          <w:szCs w:val="22"/>
        </w:rPr>
        <w:t xml:space="preserve"> </w:t>
      </w:r>
      <w:r w:rsidR="00C00799" w:rsidRPr="005E0CD9">
        <w:rPr>
          <w:color w:val="000000" w:themeColor="text1"/>
          <w:sz w:val="22"/>
          <w:szCs w:val="22"/>
        </w:rPr>
        <w:t xml:space="preserve">to ensure they remain in line wither broader environmental and social objectives. </w:t>
      </w:r>
      <w:r w:rsidR="00E0697F" w:rsidRPr="005E0CD9">
        <w:rPr>
          <w:color w:val="000000" w:themeColor="text1"/>
          <w:sz w:val="22"/>
          <w:szCs w:val="22"/>
        </w:rPr>
        <w:t>Higher-emitting activities, for example, should be</w:t>
      </w:r>
      <w:r w:rsidR="00E623A4">
        <w:rPr>
          <w:color w:val="000000" w:themeColor="text1"/>
          <w:sz w:val="22"/>
          <w:szCs w:val="22"/>
        </w:rPr>
        <w:t xml:space="preserve"> removed</w:t>
      </w:r>
      <w:r w:rsidR="00E0697F" w:rsidRPr="005E0CD9">
        <w:rPr>
          <w:color w:val="000000" w:themeColor="text1"/>
          <w:sz w:val="22"/>
          <w:szCs w:val="22"/>
        </w:rPr>
        <w:t xml:space="preserve"> </w:t>
      </w:r>
      <w:r w:rsidR="00CC0DB8" w:rsidRPr="005E0CD9">
        <w:rPr>
          <w:color w:val="000000" w:themeColor="text1"/>
          <w:sz w:val="22"/>
          <w:szCs w:val="22"/>
        </w:rPr>
        <w:t xml:space="preserve">when technologically or economically feasible low-carbon alternatives have </w:t>
      </w:r>
      <w:r w:rsidR="00461116">
        <w:rPr>
          <w:color w:val="000000" w:themeColor="text1"/>
          <w:sz w:val="22"/>
          <w:szCs w:val="22"/>
        </w:rPr>
        <w:t>been deployed</w:t>
      </w:r>
      <w:r w:rsidR="00862A09">
        <w:rPr>
          <w:color w:val="000000" w:themeColor="text1"/>
          <w:sz w:val="22"/>
          <w:szCs w:val="22"/>
        </w:rPr>
        <w:t>.</w:t>
      </w:r>
    </w:p>
    <w:p w14:paraId="49A41A10" w14:textId="77777777" w:rsidR="008E173B" w:rsidRPr="005E0CD9" w:rsidRDefault="000B19A4" w:rsidP="006E08A7">
      <w:pPr>
        <w:pStyle w:val="ListParagraph"/>
        <w:numPr>
          <w:ilvl w:val="0"/>
          <w:numId w:val="27"/>
        </w:numPr>
        <w:rPr>
          <w:b/>
          <w:bCs/>
          <w:color w:val="000000" w:themeColor="text1"/>
          <w:sz w:val="22"/>
          <w:szCs w:val="22"/>
        </w:rPr>
      </w:pPr>
      <w:r w:rsidRPr="005E0CD9">
        <w:rPr>
          <w:b/>
          <w:bCs/>
          <w:color w:val="000000" w:themeColor="text1"/>
          <w:sz w:val="22"/>
          <w:szCs w:val="22"/>
        </w:rPr>
        <w:t>Would this pose any practical challenges to users of a UK Taxonomy?</w:t>
      </w:r>
      <w:r w:rsidR="008E173B" w:rsidRPr="005E0CD9">
        <w:rPr>
          <w:b/>
          <w:bCs/>
          <w:color w:val="000000" w:themeColor="text1"/>
          <w:sz w:val="22"/>
          <w:szCs w:val="22"/>
        </w:rPr>
        <w:t xml:space="preserve"> (Optional)</w:t>
      </w:r>
    </w:p>
    <w:p w14:paraId="67BEB9F7" w14:textId="173460AF" w:rsidR="000B19A4" w:rsidRPr="006E08A7" w:rsidRDefault="00DE4804" w:rsidP="006E08A7">
      <w:pPr>
        <w:rPr>
          <w:color w:val="000000" w:themeColor="text1"/>
          <w:sz w:val="22"/>
          <w:szCs w:val="22"/>
        </w:rPr>
      </w:pPr>
      <w:r w:rsidRPr="005E0CD9">
        <w:rPr>
          <w:color w:val="000000" w:themeColor="text1"/>
          <w:sz w:val="22"/>
          <w:szCs w:val="22"/>
        </w:rPr>
        <w:t xml:space="preserve">The frequency of </w:t>
      </w:r>
      <w:r w:rsidR="00655750" w:rsidRPr="005E0CD9">
        <w:rPr>
          <w:color w:val="000000" w:themeColor="text1"/>
          <w:sz w:val="22"/>
          <w:szCs w:val="22"/>
        </w:rPr>
        <w:t xml:space="preserve">updates </w:t>
      </w:r>
      <w:r w:rsidR="000E0BAB" w:rsidRPr="005E0CD9">
        <w:rPr>
          <w:color w:val="000000" w:themeColor="text1"/>
          <w:sz w:val="22"/>
          <w:szCs w:val="22"/>
        </w:rPr>
        <w:t xml:space="preserve">to a UK green taxonomy needs to be considered </w:t>
      </w:r>
      <w:r w:rsidR="00BE3A4A" w:rsidRPr="005E0CD9">
        <w:rPr>
          <w:color w:val="000000" w:themeColor="text1"/>
          <w:sz w:val="22"/>
          <w:szCs w:val="22"/>
        </w:rPr>
        <w:t xml:space="preserve">and communicated </w:t>
      </w:r>
      <w:r w:rsidR="000E0BAB" w:rsidRPr="005E0CD9">
        <w:rPr>
          <w:color w:val="000000" w:themeColor="text1"/>
          <w:sz w:val="22"/>
          <w:szCs w:val="22"/>
        </w:rPr>
        <w:t>carefully</w:t>
      </w:r>
      <w:r w:rsidR="006B795F" w:rsidRPr="005E0CD9">
        <w:rPr>
          <w:color w:val="000000" w:themeColor="text1"/>
          <w:sz w:val="22"/>
          <w:szCs w:val="22"/>
        </w:rPr>
        <w:t xml:space="preserve"> to avoid </w:t>
      </w:r>
      <w:r w:rsidR="00B24B25" w:rsidRPr="005E0CD9">
        <w:rPr>
          <w:color w:val="000000" w:themeColor="text1"/>
          <w:sz w:val="22"/>
          <w:szCs w:val="22"/>
        </w:rPr>
        <w:t>adding</w:t>
      </w:r>
      <w:r w:rsidR="006B795F" w:rsidRPr="005E0CD9">
        <w:rPr>
          <w:color w:val="000000" w:themeColor="text1"/>
          <w:sz w:val="22"/>
          <w:szCs w:val="22"/>
        </w:rPr>
        <w:t xml:space="preserve"> complexity</w:t>
      </w:r>
      <w:r w:rsidR="00800FAE" w:rsidRPr="005E0CD9">
        <w:rPr>
          <w:color w:val="000000" w:themeColor="text1"/>
          <w:sz w:val="22"/>
          <w:szCs w:val="22"/>
        </w:rPr>
        <w:t xml:space="preserve">. </w:t>
      </w:r>
      <w:r w:rsidR="004C2AE7" w:rsidRPr="005E0CD9">
        <w:rPr>
          <w:color w:val="000000" w:themeColor="text1"/>
          <w:sz w:val="22"/>
          <w:szCs w:val="22"/>
        </w:rPr>
        <w:t xml:space="preserve">Changing classifications, for instance, could impact firms financing </w:t>
      </w:r>
      <w:r w:rsidR="0046152F" w:rsidRPr="005E0CD9">
        <w:rPr>
          <w:color w:val="000000" w:themeColor="text1"/>
          <w:sz w:val="22"/>
          <w:szCs w:val="22"/>
        </w:rPr>
        <w:t>development projects</w:t>
      </w:r>
      <w:r w:rsidR="00461116">
        <w:rPr>
          <w:color w:val="000000" w:themeColor="text1"/>
          <w:sz w:val="22"/>
          <w:szCs w:val="22"/>
        </w:rPr>
        <w:t xml:space="preserve"> </w:t>
      </w:r>
      <w:r w:rsidR="0046152F" w:rsidRPr="005E0CD9">
        <w:rPr>
          <w:color w:val="000000" w:themeColor="text1"/>
          <w:sz w:val="22"/>
          <w:szCs w:val="22"/>
        </w:rPr>
        <w:t xml:space="preserve">which can take years before they become operational. To mitigate this, </w:t>
      </w:r>
      <w:r w:rsidR="00D133DB" w:rsidRPr="005E0CD9">
        <w:rPr>
          <w:color w:val="000000" w:themeColor="text1"/>
          <w:sz w:val="22"/>
          <w:szCs w:val="22"/>
        </w:rPr>
        <w:t xml:space="preserve">the appropriate governing body must </w:t>
      </w:r>
      <w:r w:rsidR="008C7324" w:rsidRPr="005E0CD9">
        <w:rPr>
          <w:color w:val="000000" w:themeColor="text1"/>
          <w:sz w:val="22"/>
          <w:szCs w:val="22"/>
        </w:rPr>
        <w:t>signpost the review period with stakeholders early</w:t>
      </w:r>
      <w:r w:rsidR="007C4C8A" w:rsidRPr="005E0CD9">
        <w:rPr>
          <w:color w:val="000000" w:themeColor="text1"/>
          <w:sz w:val="22"/>
          <w:szCs w:val="22"/>
        </w:rPr>
        <w:t xml:space="preserve">, </w:t>
      </w:r>
      <w:r w:rsidR="008C7324" w:rsidRPr="005E0CD9">
        <w:rPr>
          <w:color w:val="000000" w:themeColor="text1"/>
          <w:sz w:val="22"/>
          <w:szCs w:val="22"/>
        </w:rPr>
        <w:t>carry out consultations</w:t>
      </w:r>
      <w:r w:rsidR="006B2097" w:rsidRPr="005E0CD9">
        <w:rPr>
          <w:color w:val="000000" w:themeColor="text1"/>
          <w:sz w:val="22"/>
          <w:szCs w:val="22"/>
        </w:rPr>
        <w:t>,</w:t>
      </w:r>
      <w:r w:rsidR="007C4C8A" w:rsidRPr="005E0CD9">
        <w:rPr>
          <w:color w:val="000000" w:themeColor="text1"/>
          <w:sz w:val="22"/>
          <w:szCs w:val="22"/>
        </w:rPr>
        <w:t xml:space="preserve"> and provide a reasonable lead-in time for companies to prepare ahead of changes coming into effect</w:t>
      </w:r>
      <w:r w:rsidR="008C7324" w:rsidRPr="005E0CD9">
        <w:rPr>
          <w:color w:val="000000" w:themeColor="text1"/>
          <w:sz w:val="22"/>
          <w:szCs w:val="22"/>
        </w:rPr>
        <w:t xml:space="preserve">. </w:t>
      </w:r>
    </w:p>
    <w:p w14:paraId="3E314336" w14:textId="3ECC3618" w:rsidR="000B19A4" w:rsidRPr="004B2F5D" w:rsidRDefault="000B19A4" w:rsidP="004B2F5D">
      <w:pPr>
        <w:pStyle w:val="ListParagraph"/>
        <w:numPr>
          <w:ilvl w:val="0"/>
          <w:numId w:val="26"/>
        </w:numPr>
        <w:rPr>
          <w:b/>
          <w:bCs/>
          <w:color w:val="000000" w:themeColor="text1"/>
          <w:sz w:val="22"/>
          <w:szCs w:val="22"/>
        </w:rPr>
      </w:pPr>
      <w:r w:rsidRPr="004B2F5D">
        <w:rPr>
          <w:b/>
          <w:bCs/>
          <w:color w:val="000000" w:themeColor="text1"/>
          <w:sz w:val="22"/>
          <w:szCs w:val="22"/>
        </w:rPr>
        <w:t>What governance and oversight arrangements should be put in place for ongoing maintenance and updates to accompany a UK Taxonomy?</w:t>
      </w:r>
    </w:p>
    <w:p w14:paraId="0A3BADF3" w14:textId="7126D02D" w:rsidR="008C7324" w:rsidRPr="005E0CD9" w:rsidRDefault="00F63C11" w:rsidP="00F63C11">
      <w:pPr>
        <w:rPr>
          <w:color w:val="000000" w:themeColor="text1"/>
          <w:sz w:val="22"/>
          <w:szCs w:val="22"/>
        </w:rPr>
      </w:pPr>
      <w:r w:rsidRPr="005E0CD9">
        <w:rPr>
          <w:color w:val="000000" w:themeColor="text1"/>
          <w:sz w:val="22"/>
          <w:szCs w:val="22"/>
        </w:rPr>
        <w:t>The Green Technical Advisory Group (GTAG) could be r</w:t>
      </w:r>
      <w:r w:rsidR="008C7324" w:rsidRPr="005E0CD9">
        <w:rPr>
          <w:color w:val="000000" w:themeColor="text1"/>
          <w:sz w:val="22"/>
          <w:szCs w:val="22"/>
        </w:rPr>
        <w:t>e-establish</w:t>
      </w:r>
      <w:r w:rsidRPr="005E0CD9">
        <w:rPr>
          <w:color w:val="000000" w:themeColor="text1"/>
          <w:sz w:val="22"/>
          <w:szCs w:val="22"/>
        </w:rPr>
        <w:t>ed (in an updated form as appropriate)</w:t>
      </w:r>
      <w:r w:rsidR="008C7324" w:rsidRPr="005E0CD9">
        <w:rPr>
          <w:color w:val="000000" w:themeColor="text1"/>
          <w:sz w:val="22"/>
          <w:szCs w:val="22"/>
        </w:rPr>
        <w:t xml:space="preserve"> </w:t>
      </w:r>
      <w:r w:rsidRPr="005E0CD9">
        <w:rPr>
          <w:color w:val="000000" w:themeColor="text1"/>
          <w:sz w:val="22"/>
          <w:szCs w:val="22"/>
        </w:rPr>
        <w:t xml:space="preserve">to help </w:t>
      </w:r>
      <w:r w:rsidR="008C7324" w:rsidRPr="005E0CD9">
        <w:rPr>
          <w:color w:val="000000" w:themeColor="text1"/>
          <w:sz w:val="22"/>
          <w:szCs w:val="22"/>
        </w:rPr>
        <w:t>maintain and update the UK Taxonomy</w:t>
      </w:r>
      <w:r w:rsidRPr="005E0CD9">
        <w:rPr>
          <w:color w:val="000000" w:themeColor="text1"/>
          <w:sz w:val="22"/>
          <w:szCs w:val="22"/>
        </w:rPr>
        <w:t>.</w:t>
      </w:r>
    </w:p>
    <w:p w14:paraId="48928261" w14:textId="77777777" w:rsidR="004810FB" w:rsidRPr="00F63C11" w:rsidRDefault="004810FB" w:rsidP="00F63C11">
      <w:pPr>
        <w:rPr>
          <w:sz w:val="22"/>
          <w:szCs w:val="22"/>
        </w:rPr>
      </w:pPr>
    </w:p>
    <w:sectPr w:rsidR="004810FB" w:rsidRPr="00F63C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622E" w14:textId="77777777" w:rsidR="00407B81" w:rsidRDefault="00407B81" w:rsidP="004C43CB">
      <w:pPr>
        <w:spacing w:after="0" w:line="240" w:lineRule="auto"/>
      </w:pPr>
      <w:r>
        <w:separator/>
      </w:r>
    </w:p>
  </w:endnote>
  <w:endnote w:type="continuationSeparator" w:id="0">
    <w:p w14:paraId="74BB0AE8" w14:textId="77777777" w:rsidR="00407B81" w:rsidRDefault="00407B81" w:rsidP="004C43CB">
      <w:pPr>
        <w:spacing w:after="0" w:line="240" w:lineRule="auto"/>
      </w:pPr>
      <w:r>
        <w:continuationSeparator/>
      </w:r>
    </w:p>
  </w:endnote>
  <w:endnote w:type="continuationNotice" w:id="1">
    <w:p w14:paraId="46BD0A22" w14:textId="77777777" w:rsidR="00407B81" w:rsidRDefault="00407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371422"/>
      <w:docPartObj>
        <w:docPartGallery w:val="Page Numbers (Bottom of Page)"/>
        <w:docPartUnique/>
      </w:docPartObj>
    </w:sdtPr>
    <w:sdtEndPr>
      <w:rPr>
        <w:noProof/>
      </w:rPr>
    </w:sdtEndPr>
    <w:sdtContent>
      <w:p w14:paraId="764CB3A6" w14:textId="0F0359D4" w:rsidR="00FA49D7" w:rsidRDefault="00FA49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CE863" w14:textId="77777777" w:rsidR="00FA49D7" w:rsidRDefault="00FA4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E645" w14:textId="77777777" w:rsidR="00407B81" w:rsidRDefault="00407B81" w:rsidP="004C43CB">
      <w:pPr>
        <w:spacing w:after="0" w:line="240" w:lineRule="auto"/>
      </w:pPr>
      <w:r>
        <w:separator/>
      </w:r>
    </w:p>
  </w:footnote>
  <w:footnote w:type="continuationSeparator" w:id="0">
    <w:p w14:paraId="7936A361" w14:textId="77777777" w:rsidR="00407B81" w:rsidRDefault="00407B81" w:rsidP="004C43CB">
      <w:pPr>
        <w:spacing w:after="0" w:line="240" w:lineRule="auto"/>
      </w:pPr>
      <w:r>
        <w:continuationSeparator/>
      </w:r>
    </w:p>
  </w:footnote>
  <w:footnote w:type="continuationNotice" w:id="1">
    <w:p w14:paraId="2A60D8D6" w14:textId="77777777" w:rsidR="00407B81" w:rsidRDefault="00407B81">
      <w:pPr>
        <w:spacing w:after="0" w:line="240" w:lineRule="auto"/>
      </w:pPr>
    </w:p>
  </w:footnote>
  <w:footnote w:id="2">
    <w:p w14:paraId="7487019C" w14:textId="77777777" w:rsidR="004C43CB" w:rsidRPr="00616CA6" w:rsidRDefault="004C43CB" w:rsidP="004C43CB">
      <w:pPr>
        <w:pStyle w:val="FootnoteText"/>
        <w:rPr>
          <w:rFonts w:cs="Helvetica"/>
        </w:rPr>
      </w:pPr>
      <w:r w:rsidRPr="00616CA6">
        <w:rPr>
          <w:rStyle w:val="FootnoteReference"/>
          <w:rFonts w:cs="Helvetica"/>
        </w:rPr>
        <w:footnoteRef/>
      </w:r>
      <w:r w:rsidRPr="00616CA6">
        <w:rPr>
          <w:rFonts w:cs="Helvetica"/>
        </w:rPr>
        <w:t xml:space="preserve"> Individual recommendations cannot be attributed to any single member and the Aldersgate Group takes full responsibility for the views expressed.</w:t>
      </w:r>
    </w:p>
  </w:footnote>
  <w:footnote w:id="3">
    <w:p w14:paraId="09983885" w14:textId="4C420ACE" w:rsidR="0028077C" w:rsidRDefault="0028077C">
      <w:pPr>
        <w:pStyle w:val="FootnoteText"/>
      </w:pPr>
      <w:r>
        <w:rPr>
          <w:rStyle w:val="FootnoteReference"/>
        </w:rPr>
        <w:footnoteRef/>
      </w:r>
      <w:r>
        <w:t xml:space="preserve"> </w:t>
      </w:r>
      <w:r w:rsidRPr="0028077C">
        <w:rPr>
          <w:rFonts w:cs="Helvetica"/>
        </w:rPr>
        <w:t xml:space="preserve">CDP and Clarity AI, 2023, </w:t>
      </w:r>
      <w:hyperlink r:id="rId1" w:history="1">
        <w:r w:rsidR="00745D7F" w:rsidRPr="00745D7F">
          <w:rPr>
            <w:rStyle w:val="Hyperlink"/>
            <w:rFonts w:cs="Helvetica"/>
          </w:rPr>
          <w:t xml:space="preserve">Stronger Together: </w:t>
        </w:r>
        <w:r w:rsidRPr="00745D7F">
          <w:rPr>
            <w:rStyle w:val="Hyperlink"/>
            <w:rFonts w:cs="Helvetica"/>
          </w:rPr>
          <w:t>Exploring the EU Taxonomy as a tool for transition planning</w:t>
        </w:r>
      </w:hyperlink>
    </w:p>
  </w:footnote>
  <w:footnote w:id="4">
    <w:p w14:paraId="3FD80A40" w14:textId="5AFCCBCC" w:rsidR="00745D7F" w:rsidRDefault="00745D7F">
      <w:pPr>
        <w:pStyle w:val="FootnoteText"/>
      </w:pPr>
      <w:r>
        <w:rPr>
          <w:rStyle w:val="FootnoteReference"/>
        </w:rPr>
        <w:footnoteRef/>
      </w:r>
      <w:r>
        <w:t xml:space="preserve"> </w:t>
      </w:r>
      <w:r w:rsidR="00801A7C">
        <w:t xml:space="preserve">GTAG, 2023, </w:t>
      </w:r>
      <w:hyperlink r:id="rId2" w:history="1">
        <w:r w:rsidR="00801A7C" w:rsidRPr="00801A7C">
          <w:rPr>
            <w:rStyle w:val="Hyperlink"/>
          </w:rPr>
          <w:t>Applying the UK Green Taxonomy to wider policies: the value case and options</w:t>
        </w:r>
      </w:hyperlink>
    </w:p>
  </w:footnote>
  <w:footnote w:id="5">
    <w:p w14:paraId="589CBEBC" w14:textId="5A920F6C" w:rsidR="00801A7C" w:rsidRDefault="00801A7C">
      <w:pPr>
        <w:pStyle w:val="FootnoteText"/>
      </w:pPr>
      <w:r>
        <w:rPr>
          <w:rStyle w:val="FootnoteReference"/>
        </w:rPr>
        <w:footnoteRef/>
      </w:r>
      <w:r>
        <w:t xml:space="preserve"> </w:t>
      </w:r>
      <w:r w:rsidR="00AA46C8">
        <w:t xml:space="preserve">UKIB, 2022, </w:t>
      </w:r>
      <w:hyperlink r:id="rId3" w:history="1">
        <w:r w:rsidR="00AA46C8" w:rsidRPr="00A345CF">
          <w:rPr>
            <w:rStyle w:val="Hyperlink"/>
          </w:rPr>
          <w:t>Strategic Plan</w:t>
        </w:r>
      </w:hyperlink>
    </w:p>
  </w:footnote>
  <w:footnote w:id="6">
    <w:p w14:paraId="3D8EE650" w14:textId="5B52D518" w:rsidR="00A345CF" w:rsidRDefault="00A345CF">
      <w:pPr>
        <w:pStyle w:val="FootnoteText"/>
      </w:pPr>
      <w:r>
        <w:rPr>
          <w:rStyle w:val="FootnoteReference"/>
        </w:rPr>
        <w:footnoteRef/>
      </w:r>
      <w:r>
        <w:t xml:space="preserve"> HMG, 2024, </w:t>
      </w:r>
      <w:hyperlink r:id="rId4" w:history="1">
        <w:r w:rsidRPr="00A345CF">
          <w:rPr>
            <w:rStyle w:val="Hyperlink"/>
          </w:rPr>
          <w:t>Invest 2035: The UK’s Modern Industrial Strategy</w:t>
        </w:r>
      </w:hyperlink>
    </w:p>
  </w:footnote>
  <w:footnote w:id="7">
    <w:p w14:paraId="25CCC547" w14:textId="10E9ECF4" w:rsidR="00A345CF" w:rsidRPr="00E23215" w:rsidRDefault="00A345CF">
      <w:pPr>
        <w:pStyle w:val="FootnoteText"/>
      </w:pPr>
      <w:r w:rsidRPr="00E23215">
        <w:rPr>
          <w:rStyle w:val="FootnoteReference"/>
        </w:rPr>
        <w:footnoteRef/>
      </w:r>
      <w:r w:rsidRPr="00E23215">
        <w:t xml:space="preserve"> </w:t>
      </w:r>
      <w:r w:rsidRPr="00E23215">
        <w:rPr>
          <w:color w:val="000000" w:themeColor="text1"/>
        </w:rPr>
        <w:t xml:space="preserve">GTAG, 2023, </w:t>
      </w:r>
      <w:hyperlink r:id="rId5" w:history="1">
        <w:r w:rsidRPr="00E23215">
          <w:rPr>
            <w:rStyle w:val="Hyperlink"/>
          </w:rPr>
          <w:t>Developing a UK taxonomy adopted to the UK’s needs in the short and medium term: scope, coverage, and reporting considerations</w:t>
        </w:r>
      </w:hyperlink>
    </w:p>
  </w:footnote>
  <w:footnote w:id="8">
    <w:p w14:paraId="6EC0A6C0" w14:textId="77ACF2D2" w:rsidR="00E23215" w:rsidRPr="00E23215" w:rsidRDefault="00E23215">
      <w:pPr>
        <w:pStyle w:val="FootnoteText"/>
      </w:pPr>
      <w:r>
        <w:rPr>
          <w:rStyle w:val="FootnoteReference"/>
        </w:rPr>
        <w:footnoteRef/>
      </w:r>
      <w:r>
        <w:t xml:space="preserve"> </w:t>
      </w:r>
      <w:r w:rsidRPr="00E23215">
        <w:rPr>
          <w:color w:val="000000" w:themeColor="text1"/>
        </w:rPr>
        <w:t>APPG on ESG, 2022</w:t>
      </w:r>
      <w:r w:rsidR="00996038">
        <w:rPr>
          <w:color w:val="000000" w:themeColor="text1"/>
        </w:rPr>
        <w:t>,</w:t>
      </w:r>
      <w:r w:rsidRPr="00E23215">
        <w:rPr>
          <w:color w:val="000000" w:themeColor="text1"/>
        </w:rPr>
        <w:t xml:space="preserve"> </w:t>
      </w:r>
      <w:hyperlink r:id="rId6" w:history="1">
        <w:r w:rsidRPr="00996038">
          <w:rPr>
            <w:rStyle w:val="Hyperlink"/>
          </w:rPr>
          <w:t>The UK Green Taxonomy</w:t>
        </w:r>
      </w:hyperlink>
    </w:p>
  </w:footnote>
  <w:footnote w:id="9">
    <w:p w14:paraId="6E746FD7" w14:textId="0E5B4220" w:rsidR="00996038" w:rsidRDefault="00996038">
      <w:pPr>
        <w:pStyle w:val="FootnoteText"/>
      </w:pPr>
      <w:r>
        <w:rPr>
          <w:rStyle w:val="FootnoteReference"/>
        </w:rPr>
        <w:footnoteRef/>
      </w:r>
      <w:r>
        <w:t xml:space="preserve"> </w:t>
      </w:r>
      <w:r w:rsidRPr="00F22535">
        <w:rPr>
          <w:color w:val="000000" w:themeColor="text1"/>
        </w:rPr>
        <w:t xml:space="preserve">We Mean Business Coalition, 2023, </w:t>
      </w:r>
      <w:hyperlink r:id="rId7" w:history="1">
        <w:r w:rsidRPr="00F22535">
          <w:rPr>
            <w:rStyle w:val="Hyperlink"/>
          </w:rPr>
          <w:t>EU green taxonomy in practice</w:t>
        </w:r>
      </w:hyperlink>
    </w:p>
  </w:footnote>
  <w:footnote w:id="10">
    <w:p w14:paraId="3C16E5F3" w14:textId="1D3A8B64" w:rsidR="005414A9" w:rsidRDefault="005414A9">
      <w:pPr>
        <w:pStyle w:val="FootnoteText"/>
      </w:pPr>
      <w:r>
        <w:rPr>
          <w:rStyle w:val="FootnoteReference"/>
        </w:rPr>
        <w:footnoteRef/>
      </w:r>
      <w:r>
        <w:t xml:space="preserve"> LGIM, 2021, </w:t>
      </w:r>
      <w:hyperlink r:id="rId8" w:history="1">
        <w:r w:rsidRPr="00FA7BDC">
          <w:rPr>
            <w:rStyle w:val="Hyperlink"/>
          </w:rPr>
          <w:t>Agriculture risk in the EU’s Sustainable Finance Taxonomy</w:t>
        </w:r>
      </w:hyperlink>
    </w:p>
  </w:footnote>
  <w:footnote w:id="11">
    <w:p w14:paraId="74485E49" w14:textId="4AA6AB1B" w:rsidR="00FA7BDC" w:rsidRDefault="00FA7BDC">
      <w:pPr>
        <w:pStyle w:val="FootnoteText"/>
      </w:pPr>
      <w:r>
        <w:rPr>
          <w:rStyle w:val="FootnoteReference"/>
        </w:rPr>
        <w:footnoteRef/>
      </w:r>
      <w:r>
        <w:t xml:space="preserve"> </w:t>
      </w:r>
      <w:r w:rsidRPr="0000539D">
        <w:t xml:space="preserve">Edie, 2023, </w:t>
      </w:r>
      <w:hyperlink r:id="rId9" w:history="1">
        <w:r w:rsidRPr="0000539D">
          <w:rPr>
            <w:rStyle w:val="Hyperlink"/>
          </w:rPr>
          <w:t>Germany launches its own green taxonomy for export credits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C7C"/>
    <w:multiLevelType w:val="hybridMultilevel"/>
    <w:tmpl w:val="5F2EE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625CE8"/>
    <w:multiLevelType w:val="hybridMultilevel"/>
    <w:tmpl w:val="DAAA62A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E6896"/>
    <w:multiLevelType w:val="hybridMultilevel"/>
    <w:tmpl w:val="FB5203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EB978EC"/>
    <w:multiLevelType w:val="multilevel"/>
    <w:tmpl w:val="7E66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B73A3"/>
    <w:multiLevelType w:val="hybridMultilevel"/>
    <w:tmpl w:val="E6444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143772"/>
    <w:multiLevelType w:val="hybridMultilevel"/>
    <w:tmpl w:val="BD0AE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CD1635"/>
    <w:multiLevelType w:val="hybridMultilevel"/>
    <w:tmpl w:val="64466726"/>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8692A"/>
    <w:multiLevelType w:val="hybridMultilevel"/>
    <w:tmpl w:val="581466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118D7"/>
    <w:multiLevelType w:val="hybridMultilevel"/>
    <w:tmpl w:val="345E4AA4"/>
    <w:lvl w:ilvl="0" w:tplc="02A02E08">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35316"/>
    <w:multiLevelType w:val="hybridMultilevel"/>
    <w:tmpl w:val="8B00E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CF2A25"/>
    <w:multiLevelType w:val="hybridMultilevel"/>
    <w:tmpl w:val="FF9CC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EB14C5"/>
    <w:multiLevelType w:val="hybridMultilevel"/>
    <w:tmpl w:val="1F44E5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3E4A45"/>
    <w:multiLevelType w:val="hybridMultilevel"/>
    <w:tmpl w:val="97121D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2D6A6587"/>
    <w:multiLevelType w:val="hybridMultilevel"/>
    <w:tmpl w:val="837A5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161EAC"/>
    <w:multiLevelType w:val="hybridMultilevel"/>
    <w:tmpl w:val="A9F6C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03637F"/>
    <w:multiLevelType w:val="hybridMultilevel"/>
    <w:tmpl w:val="E47890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BC6CC3"/>
    <w:multiLevelType w:val="hybridMultilevel"/>
    <w:tmpl w:val="3FD0A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1A051C"/>
    <w:multiLevelType w:val="hybridMultilevel"/>
    <w:tmpl w:val="4F3872B2"/>
    <w:lvl w:ilvl="0" w:tplc="8CAC426A">
      <w:start w:val="1"/>
      <w:numFmt w:val="decimal"/>
      <w:lvlText w:val="%1."/>
      <w:lvlJc w:val="left"/>
      <w:pPr>
        <w:ind w:left="1080" w:hanging="360"/>
      </w:pPr>
    </w:lvl>
    <w:lvl w:ilvl="1" w:tplc="5CACBE0E">
      <w:start w:val="1"/>
      <w:numFmt w:val="decimal"/>
      <w:lvlText w:val="%2."/>
      <w:lvlJc w:val="left"/>
      <w:pPr>
        <w:ind w:left="1080" w:hanging="360"/>
      </w:pPr>
    </w:lvl>
    <w:lvl w:ilvl="2" w:tplc="BF04866E">
      <w:start w:val="1"/>
      <w:numFmt w:val="decimal"/>
      <w:lvlText w:val="%3."/>
      <w:lvlJc w:val="left"/>
      <w:pPr>
        <w:ind w:left="1080" w:hanging="360"/>
      </w:pPr>
    </w:lvl>
    <w:lvl w:ilvl="3" w:tplc="C15EC090">
      <w:start w:val="1"/>
      <w:numFmt w:val="decimal"/>
      <w:lvlText w:val="%4."/>
      <w:lvlJc w:val="left"/>
      <w:pPr>
        <w:ind w:left="1080" w:hanging="360"/>
      </w:pPr>
    </w:lvl>
    <w:lvl w:ilvl="4" w:tplc="D7486110">
      <w:start w:val="1"/>
      <w:numFmt w:val="decimal"/>
      <w:lvlText w:val="%5."/>
      <w:lvlJc w:val="left"/>
      <w:pPr>
        <w:ind w:left="1080" w:hanging="360"/>
      </w:pPr>
    </w:lvl>
    <w:lvl w:ilvl="5" w:tplc="4072D974">
      <w:start w:val="1"/>
      <w:numFmt w:val="decimal"/>
      <w:lvlText w:val="%6."/>
      <w:lvlJc w:val="left"/>
      <w:pPr>
        <w:ind w:left="1080" w:hanging="360"/>
      </w:pPr>
    </w:lvl>
    <w:lvl w:ilvl="6" w:tplc="B7A0FAA4">
      <w:start w:val="1"/>
      <w:numFmt w:val="decimal"/>
      <w:lvlText w:val="%7."/>
      <w:lvlJc w:val="left"/>
      <w:pPr>
        <w:ind w:left="1080" w:hanging="360"/>
      </w:pPr>
    </w:lvl>
    <w:lvl w:ilvl="7" w:tplc="052E2522">
      <w:start w:val="1"/>
      <w:numFmt w:val="decimal"/>
      <w:lvlText w:val="%8."/>
      <w:lvlJc w:val="left"/>
      <w:pPr>
        <w:ind w:left="1080" w:hanging="360"/>
      </w:pPr>
    </w:lvl>
    <w:lvl w:ilvl="8" w:tplc="DAE2AF28">
      <w:start w:val="1"/>
      <w:numFmt w:val="decimal"/>
      <w:lvlText w:val="%9."/>
      <w:lvlJc w:val="left"/>
      <w:pPr>
        <w:ind w:left="1080" w:hanging="360"/>
      </w:pPr>
    </w:lvl>
  </w:abstractNum>
  <w:abstractNum w:abstractNumId="18" w15:restartNumberingAfterBreak="0">
    <w:nsid w:val="4B692FDE"/>
    <w:multiLevelType w:val="hybridMultilevel"/>
    <w:tmpl w:val="F6D2690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145B63"/>
    <w:multiLevelType w:val="hybridMultilevel"/>
    <w:tmpl w:val="3342C69E"/>
    <w:lvl w:ilvl="0" w:tplc="8ADEDC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C3040"/>
    <w:multiLevelType w:val="hybridMultilevel"/>
    <w:tmpl w:val="97B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11C6D"/>
    <w:multiLevelType w:val="hybridMultilevel"/>
    <w:tmpl w:val="06B007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91DF5"/>
    <w:multiLevelType w:val="hybridMultilevel"/>
    <w:tmpl w:val="BEC296DA"/>
    <w:lvl w:ilvl="0" w:tplc="ACE2E6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E0B4A"/>
    <w:multiLevelType w:val="hybridMultilevel"/>
    <w:tmpl w:val="5C36E9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2437D01"/>
    <w:multiLevelType w:val="hybridMultilevel"/>
    <w:tmpl w:val="CB1816A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8C5FB9"/>
    <w:multiLevelType w:val="hybridMultilevel"/>
    <w:tmpl w:val="43D4AD5C"/>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CA42C1"/>
    <w:multiLevelType w:val="hybridMultilevel"/>
    <w:tmpl w:val="214842A6"/>
    <w:lvl w:ilvl="0" w:tplc="D88AD1CC">
      <w:start w:val="1"/>
      <w:numFmt w:val="decimal"/>
      <w:lvlText w:val="%1."/>
      <w:lvlJc w:val="left"/>
      <w:pPr>
        <w:ind w:left="720" w:hanging="360"/>
      </w:pPr>
      <w:rPr>
        <w:rFonts w:hint="default"/>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DE5D81"/>
    <w:multiLevelType w:val="hybridMultilevel"/>
    <w:tmpl w:val="292492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08077D"/>
    <w:multiLevelType w:val="hybridMultilevel"/>
    <w:tmpl w:val="7AD0FD2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09589F"/>
    <w:multiLevelType w:val="hybridMultilevel"/>
    <w:tmpl w:val="F9D8809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81959"/>
    <w:multiLevelType w:val="hybridMultilevel"/>
    <w:tmpl w:val="3B78E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2526B6"/>
    <w:multiLevelType w:val="hybridMultilevel"/>
    <w:tmpl w:val="19565672"/>
    <w:lvl w:ilvl="0" w:tplc="8F9021D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499446">
    <w:abstractNumId w:val="26"/>
  </w:num>
  <w:num w:numId="2" w16cid:durableId="1368724374">
    <w:abstractNumId w:val="10"/>
  </w:num>
  <w:num w:numId="3" w16cid:durableId="1549876525">
    <w:abstractNumId w:val="13"/>
  </w:num>
  <w:num w:numId="4" w16cid:durableId="1668896068">
    <w:abstractNumId w:val="16"/>
  </w:num>
  <w:num w:numId="5" w16cid:durableId="367413235">
    <w:abstractNumId w:val="2"/>
  </w:num>
  <w:num w:numId="6" w16cid:durableId="168568820">
    <w:abstractNumId w:val="30"/>
  </w:num>
  <w:num w:numId="7" w16cid:durableId="1579706496">
    <w:abstractNumId w:val="14"/>
  </w:num>
  <w:num w:numId="8" w16cid:durableId="1611425519">
    <w:abstractNumId w:val="12"/>
  </w:num>
  <w:num w:numId="9" w16cid:durableId="1183275808">
    <w:abstractNumId w:val="5"/>
  </w:num>
  <w:num w:numId="10" w16cid:durableId="1352613113">
    <w:abstractNumId w:val="20"/>
  </w:num>
  <w:num w:numId="11" w16cid:durableId="1454858406">
    <w:abstractNumId w:val="11"/>
  </w:num>
  <w:num w:numId="12" w16cid:durableId="1180240939">
    <w:abstractNumId w:val="21"/>
  </w:num>
  <w:num w:numId="13" w16cid:durableId="51000542">
    <w:abstractNumId w:val="1"/>
  </w:num>
  <w:num w:numId="14" w16cid:durableId="76559166">
    <w:abstractNumId w:val="8"/>
  </w:num>
  <w:num w:numId="15" w16cid:durableId="1319263564">
    <w:abstractNumId w:val="0"/>
  </w:num>
  <w:num w:numId="16" w16cid:durableId="656761118">
    <w:abstractNumId w:val="4"/>
  </w:num>
  <w:num w:numId="17" w16cid:durableId="550111833">
    <w:abstractNumId w:val="9"/>
  </w:num>
  <w:num w:numId="18" w16cid:durableId="168907432">
    <w:abstractNumId w:val="17"/>
  </w:num>
  <w:num w:numId="19" w16cid:durableId="1604459593">
    <w:abstractNumId w:val="19"/>
  </w:num>
  <w:num w:numId="20" w16cid:durableId="14890090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911090">
    <w:abstractNumId w:val="3"/>
  </w:num>
  <w:num w:numId="22" w16cid:durableId="1894268416">
    <w:abstractNumId w:val="22"/>
  </w:num>
  <w:num w:numId="23" w16cid:durableId="1497956612">
    <w:abstractNumId w:val="27"/>
  </w:num>
  <w:num w:numId="24" w16cid:durableId="953245523">
    <w:abstractNumId w:val="31"/>
  </w:num>
  <w:num w:numId="25" w16cid:durableId="1025060255">
    <w:abstractNumId w:val="15"/>
  </w:num>
  <w:num w:numId="26" w16cid:durableId="802964645">
    <w:abstractNumId w:val="6"/>
  </w:num>
  <w:num w:numId="27" w16cid:durableId="1774979976">
    <w:abstractNumId w:val="25"/>
  </w:num>
  <w:num w:numId="28" w16cid:durableId="1749419017">
    <w:abstractNumId w:val="29"/>
  </w:num>
  <w:num w:numId="29" w16cid:durableId="1475487783">
    <w:abstractNumId w:val="7"/>
  </w:num>
  <w:num w:numId="30" w16cid:durableId="141314639">
    <w:abstractNumId w:val="18"/>
  </w:num>
  <w:num w:numId="31" w16cid:durableId="2126999981">
    <w:abstractNumId w:val="28"/>
  </w:num>
  <w:num w:numId="32" w16cid:durableId="4294701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88"/>
    <w:rsid w:val="00002163"/>
    <w:rsid w:val="00003D85"/>
    <w:rsid w:val="0000539D"/>
    <w:rsid w:val="000105D6"/>
    <w:rsid w:val="00011945"/>
    <w:rsid w:val="000125AA"/>
    <w:rsid w:val="000128EC"/>
    <w:rsid w:val="0001468D"/>
    <w:rsid w:val="0001632C"/>
    <w:rsid w:val="00020E14"/>
    <w:rsid w:val="00023021"/>
    <w:rsid w:val="00023D9A"/>
    <w:rsid w:val="000315AD"/>
    <w:rsid w:val="00033F17"/>
    <w:rsid w:val="000358C2"/>
    <w:rsid w:val="000375CF"/>
    <w:rsid w:val="00041DB1"/>
    <w:rsid w:val="000464B5"/>
    <w:rsid w:val="00050990"/>
    <w:rsid w:val="00055FEC"/>
    <w:rsid w:val="00056A68"/>
    <w:rsid w:val="0006381C"/>
    <w:rsid w:val="00066771"/>
    <w:rsid w:val="00073FD2"/>
    <w:rsid w:val="0008044C"/>
    <w:rsid w:val="000834B6"/>
    <w:rsid w:val="00096981"/>
    <w:rsid w:val="000979BA"/>
    <w:rsid w:val="000A0221"/>
    <w:rsid w:val="000B0ACA"/>
    <w:rsid w:val="000B19A4"/>
    <w:rsid w:val="000B1A18"/>
    <w:rsid w:val="000B4B4F"/>
    <w:rsid w:val="000B557E"/>
    <w:rsid w:val="000C4D83"/>
    <w:rsid w:val="000C59E3"/>
    <w:rsid w:val="000C5AA4"/>
    <w:rsid w:val="000C6356"/>
    <w:rsid w:val="000C657C"/>
    <w:rsid w:val="000E0BAB"/>
    <w:rsid w:val="000E659E"/>
    <w:rsid w:val="000E679B"/>
    <w:rsid w:val="000E7B95"/>
    <w:rsid w:val="000F1534"/>
    <w:rsid w:val="00100E5C"/>
    <w:rsid w:val="0010189D"/>
    <w:rsid w:val="00103077"/>
    <w:rsid w:val="001030A8"/>
    <w:rsid w:val="00110A85"/>
    <w:rsid w:val="00111507"/>
    <w:rsid w:val="00111D5C"/>
    <w:rsid w:val="00117045"/>
    <w:rsid w:val="00117AE9"/>
    <w:rsid w:val="001214DE"/>
    <w:rsid w:val="001277B4"/>
    <w:rsid w:val="00133601"/>
    <w:rsid w:val="001347B9"/>
    <w:rsid w:val="00142919"/>
    <w:rsid w:val="001434A6"/>
    <w:rsid w:val="00144BFA"/>
    <w:rsid w:val="00171418"/>
    <w:rsid w:val="00172AA7"/>
    <w:rsid w:val="00174B23"/>
    <w:rsid w:val="0017552D"/>
    <w:rsid w:val="00175C5C"/>
    <w:rsid w:val="0017734D"/>
    <w:rsid w:val="00181B91"/>
    <w:rsid w:val="00192FEA"/>
    <w:rsid w:val="00195211"/>
    <w:rsid w:val="001A0C34"/>
    <w:rsid w:val="001A102C"/>
    <w:rsid w:val="001A1460"/>
    <w:rsid w:val="001B0EA6"/>
    <w:rsid w:val="001B3A72"/>
    <w:rsid w:val="001B73A9"/>
    <w:rsid w:val="001B78C4"/>
    <w:rsid w:val="001C1860"/>
    <w:rsid w:val="001C61A9"/>
    <w:rsid w:val="001D065F"/>
    <w:rsid w:val="001D4865"/>
    <w:rsid w:val="001D56CB"/>
    <w:rsid w:val="001D57F8"/>
    <w:rsid w:val="001D7165"/>
    <w:rsid w:val="001D74B8"/>
    <w:rsid w:val="001E2D07"/>
    <w:rsid w:val="001E6710"/>
    <w:rsid w:val="001F1925"/>
    <w:rsid w:val="001F2079"/>
    <w:rsid w:val="001F2CD2"/>
    <w:rsid w:val="00200977"/>
    <w:rsid w:val="00201D35"/>
    <w:rsid w:val="0021527F"/>
    <w:rsid w:val="00216290"/>
    <w:rsid w:val="00221FA1"/>
    <w:rsid w:val="00223106"/>
    <w:rsid w:val="0022714B"/>
    <w:rsid w:val="0023039A"/>
    <w:rsid w:val="00242EA8"/>
    <w:rsid w:val="002438B6"/>
    <w:rsid w:val="0025455D"/>
    <w:rsid w:val="00255545"/>
    <w:rsid w:val="00255987"/>
    <w:rsid w:val="0026065E"/>
    <w:rsid w:val="00261D12"/>
    <w:rsid w:val="00263B03"/>
    <w:rsid w:val="00266565"/>
    <w:rsid w:val="00266FDF"/>
    <w:rsid w:val="00267A5A"/>
    <w:rsid w:val="00270C30"/>
    <w:rsid w:val="00273B96"/>
    <w:rsid w:val="00274744"/>
    <w:rsid w:val="00275A67"/>
    <w:rsid w:val="0028077C"/>
    <w:rsid w:val="002827CA"/>
    <w:rsid w:val="00286266"/>
    <w:rsid w:val="00286E1A"/>
    <w:rsid w:val="00290FF2"/>
    <w:rsid w:val="00297CD2"/>
    <w:rsid w:val="002A1037"/>
    <w:rsid w:val="002A41D3"/>
    <w:rsid w:val="002A6583"/>
    <w:rsid w:val="002B497A"/>
    <w:rsid w:val="002B7ACA"/>
    <w:rsid w:val="002C0325"/>
    <w:rsid w:val="002C17B4"/>
    <w:rsid w:val="002C3B53"/>
    <w:rsid w:val="002D0C8E"/>
    <w:rsid w:val="002D7E25"/>
    <w:rsid w:val="002E1A08"/>
    <w:rsid w:val="002E4F68"/>
    <w:rsid w:val="002E7DA4"/>
    <w:rsid w:val="002F263C"/>
    <w:rsid w:val="00304D88"/>
    <w:rsid w:val="0030718D"/>
    <w:rsid w:val="00310C1E"/>
    <w:rsid w:val="003147CE"/>
    <w:rsid w:val="003302A0"/>
    <w:rsid w:val="00331C80"/>
    <w:rsid w:val="003364BC"/>
    <w:rsid w:val="00341911"/>
    <w:rsid w:val="0034612C"/>
    <w:rsid w:val="003621B2"/>
    <w:rsid w:val="00364753"/>
    <w:rsid w:val="00366022"/>
    <w:rsid w:val="00366379"/>
    <w:rsid w:val="00367F9D"/>
    <w:rsid w:val="00371879"/>
    <w:rsid w:val="00375A10"/>
    <w:rsid w:val="00377B92"/>
    <w:rsid w:val="003806D5"/>
    <w:rsid w:val="00381A34"/>
    <w:rsid w:val="00394C93"/>
    <w:rsid w:val="00395963"/>
    <w:rsid w:val="003A558C"/>
    <w:rsid w:val="003A58B1"/>
    <w:rsid w:val="003B3F29"/>
    <w:rsid w:val="003C35D2"/>
    <w:rsid w:val="003D26C2"/>
    <w:rsid w:val="003D70A1"/>
    <w:rsid w:val="003F091F"/>
    <w:rsid w:val="003F442A"/>
    <w:rsid w:val="003F523D"/>
    <w:rsid w:val="003F670F"/>
    <w:rsid w:val="00401453"/>
    <w:rsid w:val="00407B81"/>
    <w:rsid w:val="00412840"/>
    <w:rsid w:val="00417B47"/>
    <w:rsid w:val="00424FF1"/>
    <w:rsid w:val="00431BDA"/>
    <w:rsid w:val="004368D9"/>
    <w:rsid w:val="004378EC"/>
    <w:rsid w:val="00437F7C"/>
    <w:rsid w:val="004444CF"/>
    <w:rsid w:val="00454007"/>
    <w:rsid w:val="00461116"/>
    <w:rsid w:val="0046152F"/>
    <w:rsid w:val="004619DC"/>
    <w:rsid w:val="00464B5E"/>
    <w:rsid w:val="0046565A"/>
    <w:rsid w:val="0047031D"/>
    <w:rsid w:val="00472DBA"/>
    <w:rsid w:val="00474716"/>
    <w:rsid w:val="004810FB"/>
    <w:rsid w:val="004828B3"/>
    <w:rsid w:val="00483EFF"/>
    <w:rsid w:val="004854AD"/>
    <w:rsid w:val="004858AE"/>
    <w:rsid w:val="004909A2"/>
    <w:rsid w:val="00496F6B"/>
    <w:rsid w:val="0049782A"/>
    <w:rsid w:val="00497D4C"/>
    <w:rsid w:val="00497FC8"/>
    <w:rsid w:val="004A05CB"/>
    <w:rsid w:val="004A31AC"/>
    <w:rsid w:val="004A3777"/>
    <w:rsid w:val="004B2F5D"/>
    <w:rsid w:val="004B2F71"/>
    <w:rsid w:val="004B4E9E"/>
    <w:rsid w:val="004C21D7"/>
    <w:rsid w:val="004C2AE7"/>
    <w:rsid w:val="004C43CB"/>
    <w:rsid w:val="004C67E9"/>
    <w:rsid w:val="004D29C5"/>
    <w:rsid w:val="004D6D73"/>
    <w:rsid w:val="004D6DF5"/>
    <w:rsid w:val="004E697A"/>
    <w:rsid w:val="004F1633"/>
    <w:rsid w:val="004F2C92"/>
    <w:rsid w:val="004F35C7"/>
    <w:rsid w:val="004F62C4"/>
    <w:rsid w:val="005077F4"/>
    <w:rsid w:val="005271B4"/>
    <w:rsid w:val="00531D68"/>
    <w:rsid w:val="0053589D"/>
    <w:rsid w:val="00535C28"/>
    <w:rsid w:val="005414A9"/>
    <w:rsid w:val="00542CDE"/>
    <w:rsid w:val="005431C2"/>
    <w:rsid w:val="0054614B"/>
    <w:rsid w:val="005501E1"/>
    <w:rsid w:val="005538A4"/>
    <w:rsid w:val="00553B29"/>
    <w:rsid w:val="005554BA"/>
    <w:rsid w:val="00562509"/>
    <w:rsid w:val="005632EE"/>
    <w:rsid w:val="005653C9"/>
    <w:rsid w:val="00566DAC"/>
    <w:rsid w:val="00572C3C"/>
    <w:rsid w:val="00573AD7"/>
    <w:rsid w:val="005761C5"/>
    <w:rsid w:val="00587D8F"/>
    <w:rsid w:val="005A0C2F"/>
    <w:rsid w:val="005A6538"/>
    <w:rsid w:val="005B0BE6"/>
    <w:rsid w:val="005B3759"/>
    <w:rsid w:val="005B493C"/>
    <w:rsid w:val="005B774F"/>
    <w:rsid w:val="005B7B46"/>
    <w:rsid w:val="005C0302"/>
    <w:rsid w:val="005C1B93"/>
    <w:rsid w:val="005C29C4"/>
    <w:rsid w:val="005C3027"/>
    <w:rsid w:val="005C6AF4"/>
    <w:rsid w:val="005C73F4"/>
    <w:rsid w:val="005D062C"/>
    <w:rsid w:val="005D6053"/>
    <w:rsid w:val="005D60C1"/>
    <w:rsid w:val="005D7278"/>
    <w:rsid w:val="005E0CD9"/>
    <w:rsid w:val="005F1CC2"/>
    <w:rsid w:val="005F7C3D"/>
    <w:rsid w:val="00600C26"/>
    <w:rsid w:val="00607CED"/>
    <w:rsid w:val="00614A7D"/>
    <w:rsid w:val="00616CA6"/>
    <w:rsid w:val="0062604C"/>
    <w:rsid w:val="00630C1B"/>
    <w:rsid w:val="00632EAA"/>
    <w:rsid w:val="00633BE0"/>
    <w:rsid w:val="0065300E"/>
    <w:rsid w:val="00655750"/>
    <w:rsid w:val="00665403"/>
    <w:rsid w:val="006702A7"/>
    <w:rsid w:val="00672782"/>
    <w:rsid w:val="00673E3F"/>
    <w:rsid w:val="00677EA8"/>
    <w:rsid w:val="00681E30"/>
    <w:rsid w:val="00686188"/>
    <w:rsid w:val="00691C26"/>
    <w:rsid w:val="00693E2F"/>
    <w:rsid w:val="006972D9"/>
    <w:rsid w:val="006A2E9E"/>
    <w:rsid w:val="006A4400"/>
    <w:rsid w:val="006A5059"/>
    <w:rsid w:val="006A7CA4"/>
    <w:rsid w:val="006B2097"/>
    <w:rsid w:val="006B795F"/>
    <w:rsid w:val="006D4689"/>
    <w:rsid w:val="006E08A7"/>
    <w:rsid w:val="006E31CC"/>
    <w:rsid w:val="006F06E3"/>
    <w:rsid w:val="006F0771"/>
    <w:rsid w:val="00713B37"/>
    <w:rsid w:val="00713C5F"/>
    <w:rsid w:val="00714229"/>
    <w:rsid w:val="0071771C"/>
    <w:rsid w:val="0072296C"/>
    <w:rsid w:val="00730817"/>
    <w:rsid w:val="007318C0"/>
    <w:rsid w:val="00733F68"/>
    <w:rsid w:val="00745416"/>
    <w:rsid w:val="00745D7F"/>
    <w:rsid w:val="007510C3"/>
    <w:rsid w:val="007517B7"/>
    <w:rsid w:val="007542BB"/>
    <w:rsid w:val="0076063B"/>
    <w:rsid w:val="0076228A"/>
    <w:rsid w:val="007640EC"/>
    <w:rsid w:val="00764137"/>
    <w:rsid w:val="00764851"/>
    <w:rsid w:val="00764F9C"/>
    <w:rsid w:val="007737B5"/>
    <w:rsid w:val="007751F7"/>
    <w:rsid w:val="00785D06"/>
    <w:rsid w:val="007866C2"/>
    <w:rsid w:val="00790E07"/>
    <w:rsid w:val="00793A09"/>
    <w:rsid w:val="00794788"/>
    <w:rsid w:val="00794917"/>
    <w:rsid w:val="007960BA"/>
    <w:rsid w:val="00796321"/>
    <w:rsid w:val="007964FD"/>
    <w:rsid w:val="007A191F"/>
    <w:rsid w:val="007A44AE"/>
    <w:rsid w:val="007A5496"/>
    <w:rsid w:val="007B6A5E"/>
    <w:rsid w:val="007C2773"/>
    <w:rsid w:val="007C36B4"/>
    <w:rsid w:val="007C4C8A"/>
    <w:rsid w:val="007D4D10"/>
    <w:rsid w:val="007E3739"/>
    <w:rsid w:val="007E4583"/>
    <w:rsid w:val="007E5B41"/>
    <w:rsid w:val="007F06D0"/>
    <w:rsid w:val="007F7396"/>
    <w:rsid w:val="00800FAE"/>
    <w:rsid w:val="00801A7C"/>
    <w:rsid w:val="00802C81"/>
    <w:rsid w:val="008034FC"/>
    <w:rsid w:val="00815B40"/>
    <w:rsid w:val="00815F01"/>
    <w:rsid w:val="008163CF"/>
    <w:rsid w:val="008166E0"/>
    <w:rsid w:val="008212DD"/>
    <w:rsid w:val="00823752"/>
    <w:rsid w:val="00823A49"/>
    <w:rsid w:val="00831184"/>
    <w:rsid w:val="0084139C"/>
    <w:rsid w:val="00844A12"/>
    <w:rsid w:val="00845F74"/>
    <w:rsid w:val="00850AED"/>
    <w:rsid w:val="0085217D"/>
    <w:rsid w:val="008530F1"/>
    <w:rsid w:val="0085326D"/>
    <w:rsid w:val="008547AE"/>
    <w:rsid w:val="00856210"/>
    <w:rsid w:val="00857CD3"/>
    <w:rsid w:val="00860B26"/>
    <w:rsid w:val="0086258F"/>
    <w:rsid w:val="00862A09"/>
    <w:rsid w:val="008641CE"/>
    <w:rsid w:val="00876375"/>
    <w:rsid w:val="008874C1"/>
    <w:rsid w:val="008A345A"/>
    <w:rsid w:val="008B59E4"/>
    <w:rsid w:val="008B74E1"/>
    <w:rsid w:val="008C42C0"/>
    <w:rsid w:val="008C7324"/>
    <w:rsid w:val="008C7455"/>
    <w:rsid w:val="008E173B"/>
    <w:rsid w:val="008E70E4"/>
    <w:rsid w:val="008F75E3"/>
    <w:rsid w:val="00900CBB"/>
    <w:rsid w:val="00912F21"/>
    <w:rsid w:val="009209ED"/>
    <w:rsid w:val="009233A7"/>
    <w:rsid w:val="0092580E"/>
    <w:rsid w:val="0092733A"/>
    <w:rsid w:val="00932C8A"/>
    <w:rsid w:val="00934BBC"/>
    <w:rsid w:val="009356D0"/>
    <w:rsid w:val="0094134C"/>
    <w:rsid w:val="00942D78"/>
    <w:rsid w:val="00944B38"/>
    <w:rsid w:val="00950434"/>
    <w:rsid w:val="009528FC"/>
    <w:rsid w:val="00963CA8"/>
    <w:rsid w:val="00963EC6"/>
    <w:rsid w:val="0097048F"/>
    <w:rsid w:val="009724C8"/>
    <w:rsid w:val="00972784"/>
    <w:rsid w:val="00972820"/>
    <w:rsid w:val="00973346"/>
    <w:rsid w:val="009733C6"/>
    <w:rsid w:val="00973596"/>
    <w:rsid w:val="009762B3"/>
    <w:rsid w:val="00977976"/>
    <w:rsid w:val="00981AE2"/>
    <w:rsid w:val="00986435"/>
    <w:rsid w:val="00987278"/>
    <w:rsid w:val="00993D26"/>
    <w:rsid w:val="00995932"/>
    <w:rsid w:val="00996038"/>
    <w:rsid w:val="009A7142"/>
    <w:rsid w:val="009B25A8"/>
    <w:rsid w:val="009B3CC5"/>
    <w:rsid w:val="009B55D1"/>
    <w:rsid w:val="009B576E"/>
    <w:rsid w:val="009B6547"/>
    <w:rsid w:val="009C0269"/>
    <w:rsid w:val="009C058B"/>
    <w:rsid w:val="009D7F38"/>
    <w:rsid w:val="009E6CA2"/>
    <w:rsid w:val="009F2228"/>
    <w:rsid w:val="009F7598"/>
    <w:rsid w:val="00A001E5"/>
    <w:rsid w:val="00A133E4"/>
    <w:rsid w:val="00A27487"/>
    <w:rsid w:val="00A345CF"/>
    <w:rsid w:val="00A42307"/>
    <w:rsid w:val="00A505B1"/>
    <w:rsid w:val="00A55AB7"/>
    <w:rsid w:val="00A57E41"/>
    <w:rsid w:val="00A6063D"/>
    <w:rsid w:val="00A609E3"/>
    <w:rsid w:val="00A61A8E"/>
    <w:rsid w:val="00A6493B"/>
    <w:rsid w:val="00A65FEA"/>
    <w:rsid w:val="00A753D9"/>
    <w:rsid w:val="00A82AED"/>
    <w:rsid w:val="00A835FA"/>
    <w:rsid w:val="00A8421F"/>
    <w:rsid w:val="00A854F5"/>
    <w:rsid w:val="00A85623"/>
    <w:rsid w:val="00A948FC"/>
    <w:rsid w:val="00A955A0"/>
    <w:rsid w:val="00AA46C8"/>
    <w:rsid w:val="00AA7741"/>
    <w:rsid w:val="00AA7A8F"/>
    <w:rsid w:val="00AB2316"/>
    <w:rsid w:val="00AC0070"/>
    <w:rsid w:val="00AC2295"/>
    <w:rsid w:val="00AD70DB"/>
    <w:rsid w:val="00AE4C97"/>
    <w:rsid w:val="00AF328B"/>
    <w:rsid w:val="00AF4AAB"/>
    <w:rsid w:val="00AF51E5"/>
    <w:rsid w:val="00B00873"/>
    <w:rsid w:val="00B048AD"/>
    <w:rsid w:val="00B04C0A"/>
    <w:rsid w:val="00B12F28"/>
    <w:rsid w:val="00B16C66"/>
    <w:rsid w:val="00B179BC"/>
    <w:rsid w:val="00B24B25"/>
    <w:rsid w:val="00B26EB9"/>
    <w:rsid w:val="00B32D16"/>
    <w:rsid w:val="00B3412A"/>
    <w:rsid w:val="00B34FD6"/>
    <w:rsid w:val="00B40CB9"/>
    <w:rsid w:val="00B41CE6"/>
    <w:rsid w:val="00B42777"/>
    <w:rsid w:val="00B46142"/>
    <w:rsid w:val="00B463D9"/>
    <w:rsid w:val="00B534D6"/>
    <w:rsid w:val="00B54CEA"/>
    <w:rsid w:val="00B61BBD"/>
    <w:rsid w:val="00B6547D"/>
    <w:rsid w:val="00B67342"/>
    <w:rsid w:val="00B8052D"/>
    <w:rsid w:val="00B81CCB"/>
    <w:rsid w:val="00B81EF0"/>
    <w:rsid w:val="00B82A2B"/>
    <w:rsid w:val="00B8575B"/>
    <w:rsid w:val="00B85FFE"/>
    <w:rsid w:val="00B92175"/>
    <w:rsid w:val="00B94346"/>
    <w:rsid w:val="00B963D8"/>
    <w:rsid w:val="00B97C7F"/>
    <w:rsid w:val="00BA0774"/>
    <w:rsid w:val="00BB0140"/>
    <w:rsid w:val="00BC36C1"/>
    <w:rsid w:val="00BC54F6"/>
    <w:rsid w:val="00BD10B3"/>
    <w:rsid w:val="00BD1CF1"/>
    <w:rsid w:val="00BD2172"/>
    <w:rsid w:val="00BD3B38"/>
    <w:rsid w:val="00BD4240"/>
    <w:rsid w:val="00BD4CEA"/>
    <w:rsid w:val="00BD6367"/>
    <w:rsid w:val="00BE0D2E"/>
    <w:rsid w:val="00BE1EBD"/>
    <w:rsid w:val="00BE3A4A"/>
    <w:rsid w:val="00BE5F45"/>
    <w:rsid w:val="00BF15DC"/>
    <w:rsid w:val="00BF410B"/>
    <w:rsid w:val="00BF7D9B"/>
    <w:rsid w:val="00C00799"/>
    <w:rsid w:val="00C03217"/>
    <w:rsid w:val="00C0546B"/>
    <w:rsid w:val="00C06F0E"/>
    <w:rsid w:val="00C1324A"/>
    <w:rsid w:val="00C22D90"/>
    <w:rsid w:val="00C30281"/>
    <w:rsid w:val="00C32C61"/>
    <w:rsid w:val="00C3729B"/>
    <w:rsid w:val="00C442A4"/>
    <w:rsid w:val="00C46562"/>
    <w:rsid w:val="00C50EC0"/>
    <w:rsid w:val="00C56D73"/>
    <w:rsid w:val="00C60CFC"/>
    <w:rsid w:val="00C63EE3"/>
    <w:rsid w:val="00C64C9D"/>
    <w:rsid w:val="00C65F37"/>
    <w:rsid w:val="00C924A7"/>
    <w:rsid w:val="00C942A5"/>
    <w:rsid w:val="00CA2BFB"/>
    <w:rsid w:val="00CA3BC0"/>
    <w:rsid w:val="00CA6E3A"/>
    <w:rsid w:val="00CB126A"/>
    <w:rsid w:val="00CB4261"/>
    <w:rsid w:val="00CB4CE4"/>
    <w:rsid w:val="00CB7622"/>
    <w:rsid w:val="00CC076B"/>
    <w:rsid w:val="00CC0DAF"/>
    <w:rsid w:val="00CC0DB8"/>
    <w:rsid w:val="00CC14AE"/>
    <w:rsid w:val="00CD1BDF"/>
    <w:rsid w:val="00CD7E47"/>
    <w:rsid w:val="00CE6C85"/>
    <w:rsid w:val="00D00BC0"/>
    <w:rsid w:val="00D03043"/>
    <w:rsid w:val="00D0427E"/>
    <w:rsid w:val="00D04FE7"/>
    <w:rsid w:val="00D05CA5"/>
    <w:rsid w:val="00D103BB"/>
    <w:rsid w:val="00D133DB"/>
    <w:rsid w:val="00D133F4"/>
    <w:rsid w:val="00D17EED"/>
    <w:rsid w:val="00D22C4F"/>
    <w:rsid w:val="00D30A6F"/>
    <w:rsid w:val="00D34D75"/>
    <w:rsid w:val="00D41934"/>
    <w:rsid w:val="00D4321B"/>
    <w:rsid w:val="00D51CCA"/>
    <w:rsid w:val="00D5313B"/>
    <w:rsid w:val="00D536FF"/>
    <w:rsid w:val="00D5422C"/>
    <w:rsid w:val="00D54DFA"/>
    <w:rsid w:val="00D57AC1"/>
    <w:rsid w:val="00D60CA4"/>
    <w:rsid w:val="00D66FBB"/>
    <w:rsid w:val="00D674BF"/>
    <w:rsid w:val="00D7204C"/>
    <w:rsid w:val="00D83922"/>
    <w:rsid w:val="00D85761"/>
    <w:rsid w:val="00D900A8"/>
    <w:rsid w:val="00D94D88"/>
    <w:rsid w:val="00D97B13"/>
    <w:rsid w:val="00DA0666"/>
    <w:rsid w:val="00DA5EFB"/>
    <w:rsid w:val="00DB49C2"/>
    <w:rsid w:val="00DB51D7"/>
    <w:rsid w:val="00DB5EFD"/>
    <w:rsid w:val="00DB61EC"/>
    <w:rsid w:val="00DC03FB"/>
    <w:rsid w:val="00DC0D85"/>
    <w:rsid w:val="00DC1B19"/>
    <w:rsid w:val="00DD74F3"/>
    <w:rsid w:val="00DE29AB"/>
    <w:rsid w:val="00DE4804"/>
    <w:rsid w:val="00DE5490"/>
    <w:rsid w:val="00DE66E3"/>
    <w:rsid w:val="00DF40B9"/>
    <w:rsid w:val="00E02520"/>
    <w:rsid w:val="00E05D46"/>
    <w:rsid w:val="00E0697F"/>
    <w:rsid w:val="00E10F60"/>
    <w:rsid w:val="00E1128D"/>
    <w:rsid w:val="00E1313D"/>
    <w:rsid w:val="00E1541B"/>
    <w:rsid w:val="00E15CFD"/>
    <w:rsid w:val="00E1769D"/>
    <w:rsid w:val="00E21FFD"/>
    <w:rsid w:val="00E23215"/>
    <w:rsid w:val="00E30025"/>
    <w:rsid w:val="00E3328A"/>
    <w:rsid w:val="00E352F7"/>
    <w:rsid w:val="00E45CEF"/>
    <w:rsid w:val="00E5590E"/>
    <w:rsid w:val="00E6029D"/>
    <w:rsid w:val="00E623A4"/>
    <w:rsid w:val="00E6649B"/>
    <w:rsid w:val="00E91F07"/>
    <w:rsid w:val="00E94AA7"/>
    <w:rsid w:val="00E95AEB"/>
    <w:rsid w:val="00EB707A"/>
    <w:rsid w:val="00ED370F"/>
    <w:rsid w:val="00EE0700"/>
    <w:rsid w:val="00EE21CA"/>
    <w:rsid w:val="00EE2DE9"/>
    <w:rsid w:val="00EE3E25"/>
    <w:rsid w:val="00EF48AD"/>
    <w:rsid w:val="00F01100"/>
    <w:rsid w:val="00F01859"/>
    <w:rsid w:val="00F072BE"/>
    <w:rsid w:val="00F10D56"/>
    <w:rsid w:val="00F14515"/>
    <w:rsid w:val="00F1658A"/>
    <w:rsid w:val="00F16C4C"/>
    <w:rsid w:val="00F17C82"/>
    <w:rsid w:val="00F22535"/>
    <w:rsid w:val="00F27806"/>
    <w:rsid w:val="00F367C3"/>
    <w:rsid w:val="00F431A6"/>
    <w:rsid w:val="00F44CEC"/>
    <w:rsid w:val="00F502BD"/>
    <w:rsid w:val="00F5103F"/>
    <w:rsid w:val="00F52F2E"/>
    <w:rsid w:val="00F53074"/>
    <w:rsid w:val="00F547F1"/>
    <w:rsid w:val="00F549AC"/>
    <w:rsid w:val="00F5690B"/>
    <w:rsid w:val="00F63C11"/>
    <w:rsid w:val="00F67537"/>
    <w:rsid w:val="00F71281"/>
    <w:rsid w:val="00F72DC6"/>
    <w:rsid w:val="00F73BEF"/>
    <w:rsid w:val="00F809B2"/>
    <w:rsid w:val="00F826C2"/>
    <w:rsid w:val="00F84CCC"/>
    <w:rsid w:val="00F910BB"/>
    <w:rsid w:val="00F92F4D"/>
    <w:rsid w:val="00F95081"/>
    <w:rsid w:val="00F965CD"/>
    <w:rsid w:val="00FA15CA"/>
    <w:rsid w:val="00FA49D7"/>
    <w:rsid w:val="00FA5EC7"/>
    <w:rsid w:val="00FA70E6"/>
    <w:rsid w:val="00FA7BDC"/>
    <w:rsid w:val="00FB00A1"/>
    <w:rsid w:val="00FB1380"/>
    <w:rsid w:val="00FB27FF"/>
    <w:rsid w:val="00FB37A5"/>
    <w:rsid w:val="00FC1F23"/>
    <w:rsid w:val="00FC482D"/>
    <w:rsid w:val="00FD22FA"/>
    <w:rsid w:val="00FD5E97"/>
    <w:rsid w:val="00FD60B9"/>
    <w:rsid w:val="00FE3B5A"/>
    <w:rsid w:val="00FE5A02"/>
    <w:rsid w:val="00FF262B"/>
    <w:rsid w:val="00FF2A09"/>
    <w:rsid w:val="00FF3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AC89"/>
  <w15:chartTrackingRefBased/>
  <w15:docId w15:val="{9F9D2C27-3C21-4EAF-8A56-3EC9770D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CB"/>
  </w:style>
  <w:style w:type="paragraph" w:styleId="Heading1">
    <w:name w:val="heading 1"/>
    <w:basedOn w:val="Normal"/>
    <w:next w:val="Normal"/>
    <w:link w:val="Heading1Char"/>
    <w:uiPriority w:val="9"/>
    <w:qFormat/>
    <w:rsid w:val="00686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188"/>
    <w:rPr>
      <w:rFonts w:eastAsiaTheme="majorEastAsia" w:cstheme="majorBidi"/>
      <w:color w:val="272727" w:themeColor="text1" w:themeTint="D8"/>
    </w:rPr>
  </w:style>
  <w:style w:type="paragraph" w:styleId="Title">
    <w:name w:val="Title"/>
    <w:basedOn w:val="Normal"/>
    <w:next w:val="Normal"/>
    <w:link w:val="TitleChar"/>
    <w:uiPriority w:val="10"/>
    <w:qFormat/>
    <w:rsid w:val="00686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188"/>
    <w:pPr>
      <w:spacing w:before="160"/>
      <w:jc w:val="center"/>
    </w:pPr>
    <w:rPr>
      <w:i/>
      <w:iCs/>
      <w:color w:val="404040" w:themeColor="text1" w:themeTint="BF"/>
    </w:rPr>
  </w:style>
  <w:style w:type="character" w:customStyle="1" w:styleId="QuoteChar">
    <w:name w:val="Quote Char"/>
    <w:basedOn w:val="DefaultParagraphFont"/>
    <w:link w:val="Quote"/>
    <w:uiPriority w:val="29"/>
    <w:rsid w:val="00686188"/>
    <w:rPr>
      <w:i/>
      <w:iCs/>
      <w:color w:val="404040" w:themeColor="text1" w:themeTint="BF"/>
    </w:rPr>
  </w:style>
  <w:style w:type="paragraph" w:styleId="ListParagraph">
    <w:name w:val="List Paragraph"/>
    <w:basedOn w:val="Normal"/>
    <w:uiPriority w:val="34"/>
    <w:qFormat/>
    <w:rsid w:val="00686188"/>
    <w:pPr>
      <w:ind w:left="720"/>
      <w:contextualSpacing/>
    </w:pPr>
  </w:style>
  <w:style w:type="character" w:styleId="IntenseEmphasis">
    <w:name w:val="Intense Emphasis"/>
    <w:basedOn w:val="DefaultParagraphFont"/>
    <w:uiPriority w:val="21"/>
    <w:qFormat/>
    <w:rsid w:val="00686188"/>
    <w:rPr>
      <w:i/>
      <w:iCs/>
      <w:color w:val="0F4761" w:themeColor="accent1" w:themeShade="BF"/>
    </w:rPr>
  </w:style>
  <w:style w:type="paragraph" w:styleId="IntenseQuote">
    <w:name w:val="Intense Quote"/>
    <w:basedOn w:val="Normal"/>
    <w:next w:val="Normal"/>
    <w:link w:val="IntenseQuoteChar"/>
    <w:uiPriority w:val="30"/>
    <w:qFormat/>
    <w:rsid w:val="00686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188"/>
    <w:rPr>
      <w:i/>
      <w:iCs/>
      <w:color w:val="0F4761" w:themeColor="accent1" w:themeShade="BF"/>
    </w:rPr>
  </w:style>
  <w:style w:type="character" w:styleId="IntenseReference">
    <w:name w:val="Intense Reference"/>
    <w:basedOn w:val="DefaultParagraphFont"/>
    <w:uiPriority w:val="32"/>
    <w:qFormat/>
    <w:rsid w:val="00686188"/>
    <w:rPr>
      <w:b/>
      <w:bCs/>
      <w:smallCaps/>
      <w:color w:val="0F4761" w:themeColor="accent1" w:themeShade="BF"/>
      <w:spacing w:val="5"/>
    </w:rPr>
  </w:style>
  <w:style w:type="paragraph" w:styleId="FootnoteText">
    <w:name w:val="footnote text"/>
    <w:basedOn w:val="Normal"/>
    <w:link w:val="FootnoteTextChar"/>
    <w:uiPriority w:val="99"/>
    <w:semiHidden/>
    <w:unhideWhenUsed/>
    <w:rsid w:val="004C43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3CB"/>
    <w:rPr>
      <w:sz w:val="20"/>
      <w:szCs w:val="20"/>
    </w:rPr>
  </w:style>
  <w:style w:type="character" w:styleId="FootnoteReference">
    <w:name w:val="footnote reference"/>
    <w:basedOn w:val="DefaultParagraphFont"/>
    <w:uiPriority w:val="99"/>
    <w:semiHidden/>
    <w:unhideWhenUsed/>
    <w:rsid w:val="004C43CB"/>
    <w:rPr>
      <w:vertAlign w:val="superscript"/>
    </w:rPr>
  </w:style>
  <w:style w:type="character" w:styleId="Hyperlink">
    <w:name w:val="Hyperlink"/>
    <w:basedOn w:val="DefaultParagraphFont"/>
    <w:uiPriority w:val="99"/>
    <w:unhideWhenUsed/>
    <w:rsid w:val="000A0221"/>
    <w:rPr>
      <w:color w:val="467886" w:themeColor="hyperlink"/>
      <w:u w:val="single"/>
    </w:rPr>
  </w:style>
  <w:style w:type="character" w:styleId="UnresolvedMention">
    <w:name w:val="Unresolved Mention"/>
    <w:basedOn w:val="DefaultParagraphFont"/>
    <w:uiPriority w:val="99"/>
    <w:semiHidden/>
    <w:unhideWhenUsed/>
    <w:rsid w:val="000A0221"/>
    <w:rPr>
      <w:color w:val="605E5C"/>
      <w:shd w:val="clear" w:color="auto" w:fill="E1DFDD"/>
    </w:rPr>
  </w:style>
  <w:style w:type="paragraph" w:styleId="Header">
    <w:name w:val="header"/>
    <w:basedOn w:val="Normal"/>
    <w:link w:val="HeaderChar"/>
    <w:uiPriority w:val="99"/>
    <w:unhideWhenUsed/>
    <w:rsid w:val="00FA4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D7"/>
  </w:style>
  <w:style w:type="paragraph" w:styleId="Footer">
    <w:name w:val="footer"/>
    <w:basedOn w:val="Normal"/>
    <w:link w:val="FooterChar"/>
    <w:uiPriority w:val="99"/>
    <w:unhideWhenUsed/>
    <w:rsid w:val="00FA4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D7"/>
  </w:style>
  <w:style w:type="character" w:styleId="CommentReference">
    <w:name w:val="annotation reference"/>
    <w:basedOn w:val="DefaultParagraphFont"/>
    <w:uiPriority w:val="99"/>
    <w:semiHidden/>
    <w:unhideWhenUsed/>
    <w:rsid w:val="00764F9C"/>
    <w:rPr>
      <w:sz w:val="16"/>
      <w:szCs w:val="16"/>
    </w:rPr>
  </w:style>
  <w:style w:type="paragraph" w:styleId="CommentText">
    <w:name w:val="annotation text"/>
    <w:basedOn w:val="Normal"/>
    <w:link w:val="CommentTextChar"/>
    <w:uiPriority w:val="99"/>
    <w:unhideWhenUsed/>
    <w:rsid w:val="00764F9C"/>
    <w:pPr>
      <w:spacing w:line="240" w:lineRule="auto"/>
    </w:pPr>
    <w:rPr>
      <w:sz w:val="20"/>
      <w:szCs w:val="20"/>
    </w:rPr>
  </w:style>
  <w:style w:type="character" w:customStyle="1" w:styleId="CommentTextChar">
    <w:name w:val="Comment Text Char"/>
    <w:basedOn w:val="DefaultParagraphFont"/>
    <w:link w:val="CommentText"/>
    <w:uiPriority w:val="99"/>
    <w:rsid w:val="00764F9C"/>
    <w:rPr>
      <w:sz w:val="20"/>
      <w:szCs w:val="20"/>
    </w:rPr>
  </w:style>
  <w:style w:type="paragraph" w:styleId="CommentSubject">
    <w:name w:val="annotation subject"/>
    <w:basedOn w:val="CommentText"/>
    <w:next w:val="CommentText"/>
    <w:link w:val="CommentSubjectChar"/>
    <w:uiPriority w:val="99"/>
    <w:semiHidden/>
    <w:unhideWhenUsed/>
    <w:rsid w:val="00764F9C"/>
    <w:rPr>
      <w:b/>
      <w:bCs/>
    </w:rPr>
  </w:style>
  <w:style w:type="character" w:customStyle="1" w:styleId="CommentSubjectChar">
    <w:name w:val="Comment Subject Char"/>
    <w:basedOn w:val="CommentTextChar"/>
    <w:link w:val="CommentSubject"/>
    <w:uiPriority w:val="99"/>
    <w:semiHidden/>
    <w:rsid w:val="00764F9C"/>
    <w:rPr>
      <w:b/>
      <w:bCs/>
      <w:sz w:val="20"/>
      <w:szCs w:val="20"/>
    </w:rPr>
  </w:style>
  <w:style w:type="character" w:styleId="FollowedHyperlink">
    <w:name w:val="FollowedHyperlink"/>
    <w:basedOn w:val="DefaultParagraphFont"/>
    <w:uiPriority w:val="99"/>
    <w:semiHidden/>
    <w:unhideWhenUsed/>
    <w:rsid w:val="00270C30"/>
    <w:rPr>
      <w:color w:val="96607D" w:themeColor="followedHyperlink"/>
      <w:u w:val="single"/>
    </w:rPr>
  </w:style>
  <w:style w:type="paragraph" w:styleId="Revision">
    <w:name w:val="Revision"/>
    <w:hidden/>
    <w:uiPriority w:val="99"/>
    <w:semiHidden/>
    <w:rsid w:val="00F27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24984">
      <w:bodyDiv w:val="1"/>
      <w:marLeft w:val="0"/>
      <w:marRight w:val="0"/>
      <w:marTop w:val="0"/>
      <w:marBottom w:val="0"/>
      <w:divBdr>
        <w:top w:val="none" w:sz="0" w:space="0" w:color="auto"/>
        <w:left w:val="none" w:sz="0" w:space="0" w:color="auto"/>
        <w:bottom w:val="none" w:sz="0" w:space="0" w:color="auto"/>
        <w:right w:val="none" w:sz="0" w:space="0" w:color="auto"/>
      </w:divBdr>
    </w:div>
    <w:div w:id="641545966">
      <w:bodyDiv w:val="1"/>
      <w:marLeft w:val="0"/>
      <w:marRight w:val="0"/>
      <w:marTop w:val="0"/>
      <w:marBottom w:val="0"/>
      <w:divBdr>
        <w:top w:val="none" w:sz="0" w:space="0" w:color="auto"/>
        <w:left w:val="none" w:sz="0" w:space="0" w:color="auto"/>
        <w:bottom w:val="none" w:sz="0" w:space="0" w:color="auto"/>
        <w:right w:val="none" w:sz="0" w:space="0" w:color="auto"/>
      </w:divBdr>
    </w:div>
    <w:div w:id="1216970257">
      <w:bodyDiv w:val="1"/>
      <w:marLeft w:val="0"/>
      <w:marRight w:val="0"/>
      <w:marTop w:val="0"/>
      <w:marBottom w:val="0"/>
      <w:divBdr>
        <w:top w:val="none" w:sz="0" w:space="0" w:color="auto"/>
        <w:left w:val="none" w:sz="0" w:space="0" w:color="auto"/>
        <w:bottom w:val="none" w:sz="0" w:space="0" w:color="auto"/>
        <w:right w:val="none" w:sz="0" w:space="0" w:color="auto"/>
      </w:divBdr>
    </w:div>
    <w:div w:id="1372654341">
      <w:bodyDiv w:val="1"/>
      <w:marLeft w:val="0"/>
      <w:marRight w:val="0"/>
      <w:marTop w:val="0"/>
      <w:marBottom w:val="0"/>
      <w:divBdr>
        <w:top w:val="none" w:sz="0" w:space="0" w:color="auto"/>
        <w:left w:val="none" w:sz="0" w:space="0" w:color="auto"/>
        <w:bottom w:val="none" w:sz="0" w:space="0" w:color="auto"/>
        <w:right w:val="none" w:sz="0" w:space="0" w:color="auto"/>
      </w:divBdr>
    </w:div>
    <w:div w:id="1487817913">
      <w:bodyDiv w:val="1"/>
      <w:marLeft w:val="0"/>
      <w:marRight w:val="0"/>
      <w:marTop w:val="0"/>
      <w:marBottom w:val="0"/>
      <w:divBdr>
        <w:top w:val="none" w:sz="0" w:space="0" w:color="auto"/>
        <w:left w:val="none" w:sz="0" w:space="0" w:color="auto"/>
        <w:bottom w:val="none" w:sz="0" w:space="0" w:color="auto"/>
        <w:right w:val="none" w:sz="0" w:space="0" w:color="auto"/>
      </w:divBdr>
    </w:div>
    <w:div w:id="19246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734cf6a54652d03d51610c5/UK_Green_Taxonomy_Consultatio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log.lgim.com/categories/esg-and-long-term-themes/agriculture-risk-in-the-eu-s-sustainable-finance-taxonomy/" TargetMode="External"/><Relationship Id="rId3" Type="http://schemas.openxmlformats.org/officeDocument/2006/relationships/hyperlink" Target="https://infra-bank-prod.s3.eu-west-2.amazonaws.com/s3fs-public/download/UKIB%20Strategic%20Plan%202022%20-%20Full_1.pdf" TargetMode="External"/><Relationship Id="rId7" Type="http://schemas.openxmlformats.org/officeDocument/2006/relationships/hyperlink" Target="https://www.wemeanbusinesscoalition.org/blog/study-of-eu-100-largest-companies-shows-streamlining-and-precision-needed-for-optimal-eu-green-taxonomy/" TargetMode="External"/><Relationship Id="rId2" Type="http://schemas.openxmlformats.org/officeDocument/2006/relationships/hyperlink" Target="https://www.greenfinanceinstitute.com/wp-content/uploads/2024/06/GTAG-Final-Report-on-Policy-Links.pdf" TargetMode="External"/><Relationship Id="rId1" Type="http://schemas.openxmlformats.org/officeDocument/2006/relationships/hyperlink" Target="https://clarity.ai/wp-content/uploads/2023/12/Whitepaper-StrongerTogether_ExploringEUTaxforTransitionPlanning_CDP_ClarityAI.pdf" TargetMode="External"/><Relationship Id="rId6" Type="http://schemas.openxmlformats.org/officeDocument/2006/relationships/hyperlink" Target="https://appgesg.org/wp-content/uploads/2023/01/APPG-ESG-Green-Taxonomy-full-report-November-2022-final.pdf" TargetMode="External"/><Relationship Id="rId5" Type="http://schemas.openxmlformats.org/officeDocument/2006/relationships/hyperlink" Target="https://www.greenfinanceinstitute.com/wp-content/uploads/2024/06/GTAG-Final-Report-on-Extended-Taxonomy.pdf" TargetMode="External"/><Relationship Id="rId4" Type="http://schemas.openxmlformats.org/officeDocument/2006/relationships/hyperlink" Target="https://assets.publishing.service.gov.uk/media/6711176c386bf0964853d747/industrial-strategy-green-paper.pdf" TargetMode="External"/><Relationship Id="rId9" Type="http://schemas.openxmlformats.org/officeDocument/2006/relationships/hyperlink" Target="https://www.edie.net/germany-launches-its-own-green-taxonomy-for-export-cre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c4753-db64-4eec-9f9a-2c25db935727" xsi:nil="true"/>
    <lcf76f155ced4ddcb4097134ff3c332f xmlns="5e098508-a519-4264-bca4-ee85a342d9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CFA106DF41B4FB438C5CC405099BD" ma:contentTypeVersion="18" ma:contentTypeDescription="Create a new document." ma:contentTypeScope="" ma:versionID="fe09377b2a0323d87df1c859b83f0671">
  <xsd:schema xmlns:xsd="http://www.w3.org/2001/XMLSchema" xmlns:xs="http://www.w3.org/2001/XMLSchema" xmlns:p="http://schemas.microsoft.com/office/2006/metadata/properties" xmlns:ns2="5e098508-a519-4264-bca4-ee85a342d9d0" xmlns:ns3="547c4753-db64-4eec-9f9a-2c25db935727" targetNamespace="http://schemas.microsoft.com/office/2006/metadata/properties" ma:root="true" ma:fieldsID="91558d48bf874c3d3abaa4a0de9331b6" ns2:_="" ns3:_="">
    <xsd:import namespace="5e098508-a519-4264-bca4-ee85a342d9d0"/>
    <xsd:import namespace="547c4753-db64-4eec-9f9a-2c25db935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98508-a519-4264-bca4-ee85a342d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a942b1-e364-4eee-841d-508fad73c2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c4753-db64-4eec-9f9a-2c25db935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8f74be-1c17-4537-a6f5-4651535705db}" ma:internalName="TaxCatchAll" ma:showField="CatchAllData" ma:web="547c4753-db64-4eec-9f9a-2c25db935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AF9E-805F-4D77-A37F-27BB7C027984}">
  <ds:schemaRefs>
    <ds:schemaRef ds:uri="http://schemas.microsoft.com/office/2006/metadata/properties"/>
    <ds:schemaRef ds:uri="http://schemas.microsoft.com/office/infopath/2007/PartnerControls"/>
    <ds:schemaRef ds:uri="547c4753-db64-4eec-9f9a-2c25db935727"/>
    <ds:schemaRef ds:uri="5e098508-a519-4264-bca4-ee85a342d9d0"/>
  </ds:schemaRefs>
</ds:datastoreItem>
</file>

<file path=customXml/itemProps2.xml><?xml version="1.0" encoding="utf-8"?>
<ds:datastoreItem xmlns:ds="http://schemas.openxmlformats.org/officeDocument/2006/customXml" ds:itemID="{24301CE0-E7CE-42A7-A3A7-A6205E1B2E2F}">
  <ds:schemaRefs>
    <ds:schemaRef ds:uri="http://schemas.microsoft.com/sharepoint/v3/contenttype/forms"/>
  </ds:schemaRefs>
</ds:datastoreItem>
</file>

<file path=customXml/itemProps3.xml><?xml version="1.0" encoding="utf-8"?>
<ds:datastoreItem xmlns:ds="http://schemas.openxmlformats.org/officeDocument/2006/customXml" ds:itemID="{F30EBD6A-E4F3-4C45-B165-D8BB9E9C4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98508-a519-4264-bca4-ee85a342d9d0"/>
    <ds:schemaRef ds:uri="547c4753-db64-4eec-9f9a-2c25db93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D1D1A-C474-47AD-BEAA-97379450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6</Pages>
  <Words>2537</Words>
  <Characters>14463</Characters>
  <Application>Microsoft Office Word</Application>
  <DocSecurity>0</DocSecurity>
  <Lines>120</Lines>
  <Paragraphs>33</Paragraphs>
  <ScaleCrop>false</ScaleCrop>
  <Company/>
  <LinksUpToDate>false</LinksUpToDate>
  <CharactersWithSpaces>16967</CharactersWithSpaces>
  <SharedDoc>false</SharedDoc>
  <HLinks>
    <vt:vector size="6" baseType="variant">
      <vt:variant>
        <vt:i4>1376378</vt:i4>
      </vt:variant>
      <vt:variant>
        <vt:i4>0</vt:i4>
      </vt:variant>
      <vt:variant>
        <vt:i4>0</vt:i4>
      </vt:variant>
      <vt:variant>
        <vt:i4>5</vt:i4>
      </vt:variant>
      <vt:variant>
        <vt:lpwstr>https://assets.publishing.service.gov.uk/media/6734cf6a54652d03d51610c5/UK_Green_Taxonomy_Consultation.pdf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Fotherby</dc:creator>
  <cp:keywords/>
  <dc:description/>
  <cp:lastModifiedBy>James Fotherby</cp:lastModifiedBy>
  <cp:revision>608</cp:revision>
  <dcterms:created xsi:type="dcterms:W3CDTF">2024-12-06T21:59:00Z</dcterms:created>
  <dcterms:modified xsi:type="dcterms:W3CDTF">2025-02-06T12:24:00Z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0x0101003CACFA106DF41B4FB438C5CC405099BD</vt:lpwstr>
  </property>
  <property fmtid="{D5CDD505-2E9C-101B-9397-08002B2CF9AE}" pid="3" name="MediaServiceImageTags">
    <vt:lpwstr/>
  </property>
</Properties>
</file>